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0AE44" w14:textId="6EC63512" w:rsidR="007A6612" w:rsidRPr="00446F9D" w:rsidRDefault="007A6612" w:rsidP="007A6612">
      <w:pPr>
        <w:pStyle w:val="Header"/>
        <w:tabs>
          <w:tab w:val="clear" w:pos="4536"/>
        </w:tabs>
        <w:rPr>
          <w:i/>
        </w:rPr>
      </w:pPr>
      <w:r w:rsidRPr="00446F9D">
        <w:t xml:space="preserve">TSG-RAN WG1 </w:t>
      </w:r>
      <w:r w:rsidR="00C074E0">
        <w:t>#92</w:t>
      </w:r>
      <w:r w:rsidR="004F39DB">
        <w:t>bis</w:t>
      </w:r>
      <w:r w:rsidRPr="00446F9D">
        <w:tab/>
      </w:r>
      <w:r w:rsidR="00083069" w:rsidRPr="00083069">
        <w:t>R1-18</w:t>
      </w:r>
      <w:r w:rsidR="00683DF0">
        <w:t>05176</w:t>
      </w:r>
      <w:bookmarkStart w:id="0" w:name="_GoBack"/>
      <w:bookmarkEnd w:id="0"/>
    </w:p>
    <w:p w14:paraId="31AA4018" w14:textId="0F2819ED" w:rsidR="007A6612" w:rsidRPr="000833FA" w:rsidRDefault="004F39DB" w:rsidP="007A6612">
      <w:pPr>
        <w:pStyle w:val="Header"/>
        <w:rPr>
          <w:color w:val="000000"/>
        </w:rPr>
      </w:pPr>
      <w:r>
        <w:t>Sanya</w:t>
      </w:r>
      <w:r w:rsidR="00C074E0">
        <w:t xml:space="preserve">, </w:t>
      </w:r>
      <w:r>
        <w:t>China</w:t>
      </w:r>
      <w:r w:rsidR="00C074E0">
        <w:t xml:space="preserve">, </w:t>
      </w:r>
      <w:r>
        <w:t xml:space="preserve">April 16 – 20, </w:t>
      </w:r>
      <w:r w:rsidR="007A6612">
        <w:t>2018</w:t>
      </w:r>
    </w:p>
    <w:p w14:paraId="6B69A6F1" w14:textId="77777777" w:rsidR="00A6549D" w:rsidRPr="000833FA" w:rsidRDefault="00A6549D" w:rsidP="00A6549D">
      <w:pPr>
        <w:pStyle w:val="Header"/>
      </w:pPr>
    </w:p>
    <w:p w14:paraId="4F365DAA"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73B4352C" w14:textId="2E818FCF" w:rsidR="00F618ED" w:rsidRPr="00E220C0" w:rsidRDefault="00F618ED" w:rsidP="00F618ED">
      <w:pPr>
        <w:pStyle w:val="Header"/>
        <w:tabs>
          <w:tab w:val="clear" w:pos="4536"/>
          <w:tab w:val="left" w:pos="1800"/>
        </w:tabs>
      </w:pPr>
      <w:r w:rsidRPr="0003368D">
        <w:t>Title:</w:t>
      </w:r>
      <w:bookmarkStart w:id="1" w:name="Title"/>
      <w:bookmarkEnd w:id="1"/>
      <w:r w:rsidRPr="0003368D">
        <w:tab/>
      </w:r>
      <w:r w:rsidR="00683DF0" w:rsidRPr="00683DF0">
        <w:rPr>
          <w:rFonts w:cs="Arial"/>
          <w:szCs w:val="20"/>
          <w:lang w:eastAsia="sv-SE"/>
        </w:rPr>
        <w:t>Further Notes for DCI Size Discussion</w:t>
      </w:r>
    </w:p>
    <w:p w14:paraId="6368C0D5" w14:textId="72889DCF" w:rsidR="00F618ED" w:rsidRPr="004F39DB" w:rsidRDefault="00F618ED" w:rsidP="00F618ED">
      <w:pPr>
        <w:pStyle w:val="Header"/>
        <w:tabs>
          <w:tab w:val="left" w:pos="1800"/>
        </w:tabs>
        <w:rPr>
          <w:lang w:val="sv-SE"/>
        </w:rPr>
      </w:pPr>
      <w:r w:rsidRPr="004F39DB">
        <w:rPr>
          <w:lang w:val="sv-SE"/>
        </w:rPr>
        <w:t>Agenda Item:</w:t>
      </w:r>
      <w:bookmarkStart w:id="2" w:name="Source"/>
      <w:bookmarkEnd w:id="2"/>
      <w:r w:rsidRPr="004F39DB">
        <w:rPr>
          <w:lang w:val="sv-SE"/>
        </w:rPr>
        <w:tab/>
      </w:r>
      <w:r w:rsidR="00683DF0">
        <w:rPr>
          <w:lang w:val="sv-SE"/>
        </w:rPr>
        <w:t>7.1.3.1</w:t>
      </w:r>
    </w:p>
    <w:p w14:paraId="44BAA24A"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6F0D4D6" w14:textId="77777777" w:rsidR="00F618ED" w:rsidRPr="002100D2" w:rsidRDefault="00F618ED" w:rsidP="00F618ED">
      <w:pPr>
        <w:pBdr>
          <w:bottom w:val="single" w:sz="4" w:space="1" w:color="auto"/>
        </w:pBdr>
        <w:tabs>
          <w:tab w:val="left" w:pos="2552"/>
        </w:tabs>
      </w:pPr>
    </w:p>
    <w:p w14:paraId="1E9C1C21" w14:textId="77777777" w:rsidR="0009344A" w:rsidRDefault="0009344A" w:rsidP="0009344A">
      <w:pPr>
        <w:pStyle w:val="Heading1"/>
      </w:pPr>
      <w:r>
        <w:t>Introduction</w:t>
      </w:r>
    </w:p>
    <w:p w14:paraId="65EFEA0A" w14:textId="44E5DE3B" w:rsidR="0009344A" w:rsidRDefault="0009344A" w:rsidP="0009344A">
      <w:pPr>
        <w:pStyle w:val="BodyText"/>
      </w:pPr>
      <w:r>
        <w:t xml:space="preserve">At </w:t>
      </w:r>
      <w:r w:rsidR="002D7D44">
        <w:t>RAN1#92, some decisions around DCI sizes were taken</w:t>
      </w:r>
      <w:r w:rsidR="000D4D5C">
        <w:t>.</w:t>
      </w:r>
    </w:p>
    <w:p w14:paraId="14501F15" w14:textId="1BA92973" w:rsidR="00444512" w:rsidRDefault="00444512" w:rsidP="00444512">
      <w:pPr>
        <w:pStyle w:val="BodyText"/>
      </w:pPr>
      <w:r>
        <w:t>From RAN1 January AdHoc on NR:</w:t>
      </w:r>
    </w:p>
    <w:p w14:paraId="43A7F42C" w14:textId="38C84276" w:rsidR="00444512" w:rsidRPr="00444512" w:rsidRDefault="00444512" w:rsidP="00444512">
      <w:pPr>
        <w:pStyle w:val="BodyText"/>
      </w:pPr>
      <w:r>
        <w:rPr>
          <w:noProof/>
        </w:rPr>
        <mc:AlternateContent>
          <mc:Choice Requires="wps">
            <w:drawing>
              <wp:inline distT="0" distB="0" distL="0" distR="0" wp14:anchorId="75AA6E53" wp14:editId="28CD26AA">
                <wp:extent cx="5932627" cy="1404620"/>
                <wp:effectExtent l="0" t="0" r="11430" b="1841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404620"/>
                        </a:xfrm>
                        <a:prstGeom prst="rect">
                          <a:avLst/>
                        </a:prstGeom>
                        <a:solidFill>
                          <a:srgbClr val="FFFFFF"/>
                        </a:solidFill>
                        <a:ln w="9525">
                          <a:solidFill>
                            <a:srgbClr val="000000"/>
                          </a:solidFill>
                          <a:miter lim="800000"/>
                          <a:headEnd/>
                          <a:tailEnd/>
                        </a:ln>
                      </wps:spPr>
                      <wps:txbx>
                        <w:txbxContent>
                          <w:p w14:paraId="308FA7EE" w14:textId="4E84B6C5" w:rsidR="00444512" w:rsidRPr="00041508" w:rsidRDefault="00444512" w:rsidP="00444512">
                            <w:pPr>
                              <w:rPr>
                                <w:b/>
                                <w:szCs w:val="20"/>
                                <w:lang w:eastAsia="x-none"/>
                              </w:rPr>
                            </w:pPr>
                            <w:r w:rsidRPr="00041508">
                              <w:rPr>
                                <w:szCs w:val="20"/>
                                <w:highlight w:val="green"/>
                                <w:lang w:eastAsia="x-none"/>
                              </w:rPr>
                              <w:t>Agreements</w:t>
                            </w:r>
                            <w:r w:rsidRPr="00041508">
                              <w:rPr>
                                <w:b/>
                                <w:szCs w:val="20"/>
                                <w:lang w:eastAsia="x-none"/>
                              </w:rPr>
                              <w:t>:</w:t>
                            </w:r>
                          </w:p>
                          <w:p w14:paraId="122A105C" w14:textId="77777777" w:rsidR="00444512" w:rsidRPr="00041508" w:rsidRDefault="00444512" w:rsidP="00444512">
                            <w:pPr>
                              <w:pStyle w:val="BodyText"/>
                              <w:rPr>
                                <w:szCs w:val="20"/>
                              </w:rPr>
                            </w:pPr>
                            <w:r w:rsidRPr="00041508">
                              <w:rPr>
                                <w:szCs w:val="20"/>
                              </w:rPr>
                              <w:t>For one carrier:</w:t>
                            </w:r>
                          </w:p>
                          <w:p w14:paraId="72C2440E" w14:textId="77777777" w:rsidR="00444512" w:rsidRPr="00041508" w:rsidRDefault="00444512" w:rsidP="00162CB8">
                            <w:pPr>
                              <w:pStyle w:val="BodyText"/>
                              <w:numPr>
                                <w:ilvl w:val="0"/>
                                <w:numId w:val="6"/>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14:paraId="21B9B47D" w14:textId="77777777" w:rsidR="00444512" w:rsidRPr="00041508" w:rsidRDefault="00444512" w:rsidP="00162CB8">
                            <w:pPr>
                              <w:pStyle w:val="BodyText"/>
                              <w:numPr>
                                <w:ilvl w:val="0"/>
                                <w:numId w:val="6"/>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14:paraId="6C4DEC5C" w14:textId="77777777" w:rsidR="00444512" w:rsidRPr="00041508" w:rsidRDefault="00444512" w:rsidP="00162CB8">
                            <w:pPr>
                              <w:pStyle w:val="BodyText"/>
                              <w:numPr>
                                <w:ilvl w:val="1"/>
                                <w:numId w:val="6"/>
                              </w:numPr>
                              <w:rPr>
                                <w:szCs w:val="20"/>
                              </w:rPr>
                            </w:pPr>
                            <w:r w:rsidRPr="00041508">
                              <w:rPr>
                                <w:szCs w:val="20"/>
                              </w:rPr>
                              <w:t>At most 3 different DCI sizes are monitored per C-RNTI per slot</w:t>
                            </w:r>
                          </w:p>
                          <w:p w14:paraId="565374DC" w14:textId="2585E8BA" w:rsidR="00444512" w:rsidRDefault="00444512" w:rsidP="00162CB8">
                            <w:pPr>
                              <w:pStyle w:val="BodyText"/>
                              <w:numPr>
                                <w:ilvl w:val="0"/>
                                <w:numId w:val="6"/>
                              </w:numPr>
                            </w:pPr>
                            <w:r w:rsidRPr="00444512">
                              <w:rPr>
                                <w:szCs w:val="20"/>
                              </w:rPr>
                              <w:t>Payload size for formats 0-1 and 1-1 may differ</w:t>
                            </w:r>
                          </w:p>
                        </w:txbxContent>
                      </wps:txbx>
                      <wps:bodyPr rot="0" vert="horz" wrap="square" lIns="91440" tIns="45720" rIns="91440" bIns="45720" anchor="t" anchorCtr="0">
                        <a:spAutoFit/>
                      </wps:bodyPr>
                    </wps:wsp>
                  </a:graphicData>
                </a:graphic>
              </wp:inline>
            </w:drawing>
          </mc:Choice>
          <mc:Fallback>
            <w:pict>
              <v:shapetype w14:anchorId="75AA6E53" id="_x0000_t202" coordsize="21600,21600" o:spt="202" path="m,l,21600r21600,l21600,xe">
                <v:stroke joinstyle="miter"/>
                <v:path gradientshapeok="t" o:connecttype="rect"/>
              </v:shapetype>
              <v:shape id="Text Box 2" o:spid="_x0000_s1026" type="#_x0000_t202" style="width:46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">
                <v:textbox style="mso-fit-shape-to-text:t">
                  <w:txbxContent>
                    <w:p w14:paraId="308FA7EE" w14:textId="4E84B6C5" w:rsidR="00444512" w:rsidRPr="00041508" w:rsidRDefault="00444512" w:rsidP="00444512">
                      <w:pPr>
                        <w:rPr>
                          <w:b/>
                          <w:szCs w:val="20"/>
                          <w:lang w:eastAsia="x-none"/>
                        </w:rPr>
                      </w:pPr>
                      <w:r w:rsidRPr="00041508">
                        <w:rPr>
                          <w:szCs w:val="20"/>
                          <w:highlight w:val="green"/>
                          <w:lang w:eastAsia="x-none"/>
                        </w:rPr>
                        <w:t>Agreements</w:t>
                      </w:r>
                      <w:r w:rsidRPr="00041508">
                        <w:rPr>
                          <w:b/>
                          <w:szCs w:val="20"/>
                          <w:lang w:eastAsia="x-none"/>
                        </w:rPr>
                        <w:t>:</w:t>
                      </w:r>
                    </w:p>
                    <w:p w14:paraId="122A105C" w14:textId="77777777" w:rsidR="00444512" w:rsidRPr="00041508" w:rsidRDefault="00444512" w:rsidP="00444512">
                      <w:pPr>
                        <w:pStyle w:val="BodyText"/>
                        <w:rPr>
                          <w:szCs w:val="20"/>
                        </w:rPr>
                      </w:pPr>
                      <w:r w:rsidRPr="00041508">
                        <w:rPr>
                          <w:szCs w:val="20"/>
                        </w:rPr>
                        <w:t>For one carrier:</w:t>
                      </w:r>
                    </w:p>
                    <w:p w14:paraId="72C2440E" w14:textId="77777777" w:rsidR="00444512" w:rsidRPr="00041508" w:rsidRDefault="00444512" w:rsidP="00162CB8">
                      <w:pPr>
                        <w:pStyle w:val="BodyText"/>
                        <w:numPr>
                          <w:ilvl w:val="0"/>
                          <w:numId w:val="6"/>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14:paraId="21B9B47D" w14:textId="77777777" w:rsidR="00444512" w:rsidRPr="00041508" w:rsidRDefault="00444512" w:rsidP="00162CB8">
                      <w:pPr>
                        <w:pStyle w:val="BodyText"/>
                        <w:numPr>
                          <w:ilvl w:val="0"/>
                          <w:numId w:val="6"/>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14:paraId="6C4DEC5C" w14:textId="77777777" w:rsidR="00444512" w:rsidRPr="00041508" w:rsidRDefault="00444512" w:rsidP="00162CB8">
                      <w:pPr>
                        <w:pStyle w:val="BodyText"/>
                        <w:numPr>
                          <w:ilvl w:val="1"/>
                          <w:numId w:val="6"/>
                        </w:numPr>
                        <w:rPr>
                          <w:szCs w:val="20"/>
                        </w:rPr>
                      </w:pPr>
                      <w:r w:rsidRPr="00041508">
                        <w:rPr>
                          <w:szCs w:val="20"/>
                        </w:rPr>
                        <w:t>At most 3 different DCI sizes are monitored per C-RNTI per slot</w:t>
                      </w:r>
                    </w:p>
                    <w:p w14:paraId="565374DC" w14:textId="2585E8BA" w:rsidR="00444512" w:rsidRDefault="00444512" w:rsidP="00162CB8">
                      <w:pPr>
                        <w:pStyle w:val="BodyText"/>
                        <w:numPr>
                          <w:ilvl w:val="0"/>
                          <w:numId w:val="6"/>
                        </w:numPr>
                      </w:pPr>
                      <w:r w:rsidRPr="00444512">
                        <w:rPr>
                          <w:szCs w:val="20"/>
                        </w:rPr>
                        <w:t>Payload size for formats 0-1 and 1-1 may differ</w:t>
                      </w:r>
                    </w:p>
                  </w:txbxContent>
                </v:textbox>
                <w10:anchorlock/>
              </v:shape>
            </w:pict>
          </mc:Fallback>
        </mc:AlternateContent>
      </w:r>
    </w:p>
    <w:p w14:paraId="54923099" w14:textId="22A72C0D" w:rsidR="00444512" w:rsidRDefault="00444512" w:rsidP="00444512">
      <w:pPr>
        <w:pStyle w:val="BodyText"/>
      </w:pPr>
      <w:r>
        <w:t>From RAN1#92:</w:t>
      </w:r>
    </w:p>
    <w:p w14:paraId="6D5591C0" w14:textId="460B9734" w:rsidR="00444512" w:rsidRDefault="00444512" w:rsidP="00444512">
      <w:pPr>
        <w:pStyle w:val="BodyText"/>
      </w:pPr>
      <w:r>
        <w:rPr>
          <w:noProof/>
        </w:rPr>
        <mc:AlternateContent>
          <mc:Choice Requires="wps">
            <w:drawing>
              <wp:inline distT="0" distB="0" distL="0" distR="0" wp14:anchorId="45B47C6F" wp14:editId="5A10142B">
                <wp:extent cx="5910681" cy="1404620"/>
                <wp:effectExtent l="0" t="0" r="139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1" cy="1404620"/>
                        </a:xfrm>
                        <a:prstGeom prst="rect">
                          <a:avLst/>
                        </a:prstGeom>
                        <a:solidFill>
                          <a:srgbClr val="FFFFFF"/>
                        </a:solidFill>
                        <a:ln w="9525">
                          <a:solidFill>
                            <a:srgbClr val="000000"/>
                          </a:solidFill>
                          <a:miter lim="800000"/>
                          <a:headEnd/>
                          <a:tailEnd/>
                        </a:ln>
                      </wps:spPr>
                      <wps:txbx>
                        <w:txbxContent>
                          <w:p w14:paraId="4E184D58" w14:textId="53D08E57" w:rsidR="00444512" w:rsidRPr="00AF1A70" w:rsidRDefault="00444512" w:rsidP="00444512">
                            <w:pPr>
                              <w:pStyle w:val="BodyText"/>
                              <w:rPr>
                                <w:szCs w:val="20"/>
                              </w:rPr>
                            </w:pPr>
                            <w:r w:rsidRPr="00AF1A70">
                              <w:rPr>
                                <w:szCs w:val="20"/>
                                <w:highlight w:val="green"/>
                              </w:rPr>
                              <w:t>Agreements</w:t>
                            </w:r>
                            <w:r w:rsidRPr="00AF1A70">
                              <w:rPr>
                                <w:szCs w:val="20"/>
                              </w:rPr>
                              <w:t>:</w:t>
                            </w:r>
                          </w:p>
                          <w:p w14:paraId="155C067B" w14:textId="77777777" w:rsidR="00444512" w:rsidRPr="00AF1A70" w:rsidRDefault="00444512" w:rsidP="00162CB8">
                            <w:pPr>
                              <w:pStyle w:val="BodyText"/>
                              <w:numPr>
                                <w:ilvl w:val="0"/>
                                <w:numId w:val="4"/>
                              </w:numPr>
                              <w:rPr>
                                <w:szCs w:val="20"/>
                              </w:rPr>
                            </w:pPr>
                            <w:r w:rsidRPr="00AF1A70">
                              <w:rPr>
                                <w:szCs w:val="20"/>
                              </w:rPr>
                              <w:t xml:space="preserve">DCI formats 0-0/1-0, 0-1, and 1-1 can have different sizes. </w:t>
                            </w:r>
                          </w:p>
                          <w:p w14:paraId="06716A8A" w14:textId="77777777" w:rsidR="00444512" w:rsidRPr="00AF1A70" w:rsidRDefault="00444512" w:rsidP="00162CB8">
                            <w:pPr>
                              <w:pStyle w:val="BodyText"/>
                              <w:numPr>
                                <w:ilvl w:val="0"/>
                                <w:numId w:val="4"/>
                              </w:numPr>
                              <w:rPr>
                                <w:szCs w:val="20"/>
                              </w:rPr>
                            </w:pPr>
                            <w:r w:rsidRPr="00AF1A70">
                              <w:rPr>
                                <w:szCs w:val="20"/>
                              </w:rPr>
                              <w:t>DCI formats 0-1 and 1-1 can be received in USS only. The size is determined by the active BWP.</w:t>
                            </w:r>
                          </w:p>
                          <w:p w14:paraId="4810D90B" w14:textId="77777777" w:rsidR="00444512" w:rsidRDefault="00444512" w:rsidP="00444512">
                            <w:pPr>
                              <w:pStyle w:val="BodyText"/>
                            </w:pPr>
                            <w:r>
                              <w:rPr>
                                <w:highlight w:val="darkYellow"/>
                              </w:rPr>
                              <w:t>W</w:t>
                            </w:r>
                            <w:r w:rsidRPr="00311C38">
                              <w:rPr>
                                <w:highlight w:val="darkYellow"/>
                              </w:rPr>
                              <w:t>orking assumption</w:t>
                            </w:r>
                            <w:r>
                              <w:t>:</w:t>
                            </w:r>
                          </w:p>
                          <w:p w14:paraId="49635B94" w14:textId="77777777" w:rsidR="00444512" w:rsidRDefault="00444512" w:rsidP="00162CB8">
                            <w:pPr>
                              <w:pStyle w:val="BodyText"/>
                              <w:numPr>
                                <w:ilvl w:val="0"/>
                                <w:numId w:val="5"/>
                              </w:numPr>
                            </w:pPr>
                            <w:r>
                              <w:t>When monitoring for DCI in a BWP, the size of DCI format 0-0/1-0 is given by</w:t>
                            </w:r>
                          </w:p>
                          <w:p w14:paraId="03BD1BC7" w14:textId="77777777" w:rsidR="00444512" w:rsidRDefault="00444512" w:rsidP="00162CB8">
                            <w:pPr>
                              <w:pStyle w:val="BodyText"/>
                              <w:numPr>
                                <w:ilvl w:val="0"/>
                                <w:numId w:val="5"/>
                              </w:numPr>
                              <w:ind w:left="1080"/>
                            </w:pPr>
                            <w:r>
                              <w:t>For format 0-0/1-0 (regardless of RNTI) in CSS, the size is given by the initial DL BWP</w:t>
                            </w:r>
                          </w:p>
                          <w:p w14:paraId="08DF6110" w14:textId="77777777" w:rsidR="00444512" w:rsidRDefault="00444512" w:rsidP="00162CB8">
                            <w:pPr>
                              <w:pStyle w:val="BodyText"/>
                              <w:numPr>
                                <w:ilvl w:val="0"/>
                                <w:numId w:val="5"/>
                              </w:numPr>
                              <w:ind w:left="1080"/>
                            </w:pPr>
                            <w:r>
                              <w:t xml:space="preserve">For format 0-0/1-0 in USS, the size is given by the active BWP as long as the DCI size budget is fulfilled </w:t>
                            </w:r>
                          </w:p>
                          <w:p w14:paraId="7C9B4607" w14:textId="77777777" w:rsidR="00444512" w:rsidRDefault="00444512" w:rsidP="00162CB8">
                            <w:pPr>
                              <w:pStyle w:val="BodyText"/>
                              <w:numPr>
                                <w:ilvl w:val="1"/>
                                <w:numId w:val="5"/>
                              </w:numPr>
                              <w:ind w:left="1800"/>
                            </w:pPr>
                            <w:r>
                              <w:t>FFS: Otherwise, for format 0-0/1-0, the size is given by the initial DL BWP</w:t>
                            </w:r>
                          </w:p>
                          <w:p w14:paraId="6BDA629E" w14:textId="77777777" w:rsidR="00444512" w:rsidRDefault="00444512" w:rsidP="00162CB8">
                            <w:pPr>
                              <w:pStyle w:val="BodyText"/>
                              <w:numPr>
                                <w:ilvl w:val="0"/>
                                <w:numId w:val="5"/>
                              </w:numPr>
                              <w:ind w:left="1080"/>
                            </w:pPr>
                            <w:r>
                              <w:t>FFS: how to meet the C-RNTI size and DCI size budget per slot</w:t>
                            </w:r>
                          </w:p>
                          <w:p w14:paraId="34062CC7" w14:textId="77777777" w:rsidR="00444512" w:rsidRDefault="00444512" w:rsidP="00162CB8">
                            <w:pPr>
                              <w:pStyle w:val="BodyText"/>
                              <w:numPr>
                                <w:ilvl w:val="1"/>
                                <w:numId w:val="5"/>
                              </w:numPr>
                              <w:ind w:left="1800"/>
                            </w:pPr>
                            <w:r>
                              <w:t>align 0-1 and 1-1</w:t>
                            </w:r>
                          </w:p>
                          <w:p w14:paraId="6BF09EFD" w14:textId="77777777" w:rsidR="00444512" w:rsidRDefault="00444512" w:rsidP="00162CB8">
                            <w:pPr>
                              <w:pStyle w:val="BodyText"/>
                              <w:numPr>
                                <w:ilvl w:val="1"/>
                                <w:numId w:val="5"/>
                              </w:numPr>
                              <w:ind w:left="1800"/>
                            </w:pPr>
                            <w:r>
                              <w:t>configure active BWP such that the DCI size is the same as of the initial BWP</w:t>
                            </w:r>
                          </w:p>
                          <w:p w14:paraId="091041CE" w14:textId="77777777" w:rsidR="00444512" w:rsidRDefault="00444512" w:rsidP="00162CB8">
                            <w:pPr>
                              <w:pStyle w:val="BodyText"/>
                              <w:numPr>
                                <w:ilvl w:val="1"/>
                                <w:numId w:val="5"/>
                              </w:numPr>
                              <w:ind w:left="1800"/>
                            </w:pPr>
                            <w:r>
                              <w:t>do not configure 0-1 and 1-1</w:t>
                            </w:r>
                          </w:p>
                          <w:p w14:paraId="4FB932E8" w14:textId="77777777" w:rsidR="00444512" w:rsidRDefault="00444512" w:rsidP="00162CB8">
                            <w:pPr>
                              <w:pStyle w:val="BodyText"/>
                              <w:numPr>
                                <w:ilvl w:val="1"/>
                                <w:numId w:val="5"/>
                              </w:numPr>
                              <w:ind w:left="1800"/>
                            </w:pPr>
                            <w:r>
                              <w:t>do not configure 0-0/1-0 in USS</w:t>
                            </w:r>
                          </w:p>
                          <w:p w14:paraId="0EE2DB88" w14:textId="77777777" w:rsidR="00444512" w:rsidRDefault="00444512" w:rsidP="00162CB8">
                            <w:pPr>
                              <w:pStyle w:val="BodyText"/>
                              <w:numPr>
                                <w:ilvl w:val="1"/>
                                <w:numId w:val="5"/>
                              </w:numPr>
                              <w:ind w:left="1800"/>
                            </w:pPr>
                            <w:r>
                              <w:t>other are not precluded</w:t>
                            </w:r>
                          </w:p>
                          <w:p w14:paraId="12A7AFAF" w14:textId="3E0A5A25" w:rsidR="00444512" w:rsidRDefault="00444512" w:rsidP="00162CB8">
                            <w:pPr>
                              <w:pStyle w:val="BodyText"/>
                              <w:numPr>
                                <w:ilvl w:val="0"/>
                                <w:numId w:val="5"/>
                              </w:numPr>
                              <w:ind w:left="1080"/>
                            </w:pPr>
                            <w:r>
                              <w:t>FFS: for format 0-0/1-0, how to interpret the frequency-domain field in a DCI with a size defined from a BWP with a different size than the BWP it is applied to</w:t>
                            </w:r>
                          </w:p>
                        </w:txbxContent>
                      </wps:txbx>
                      <wps:bodyPr rot="0" vert="horz" wrap="square" lIns="91440" tIns="45720" rIns="91440" bIns="45720" anchor="t" anchorCtr="0">
                        <a:spAutoFit/>
                      </wps:bodyPr>
                    </wps:wsp>
                  </a:graphicData>
                </a:graphic>
              </wp:inline>
            </w:drawing>
          </mc:Choice>
          <mc:Fallback>
            <w:pict>
              <v:shape w14:anchorId="45B47C6F" id="_x0000_s1027"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">
                <v:textbox style="mso-fit-shape-to-text:t">
                  <w:txbxContent>
                    <w:p w14:paraId="4E184D58" w14:textId="53D08E57" w:rsidR="00444512" w:rsidRPr="00AF1A70" w:rsidRDefault="00444512" w:rsidP="00444512">
                      <w:pPr>
                        <w:pStyle w:val="BodyText"/>
                        <w:rPr>
                          <w:szCs w:val="20"/>
                        </w:rPr>
                      </w:pPr>
                      <w:r w:rsidRPr="00AF1A70">
                        <w:rPr>
                          <w:szCs w:val="20"/>
                          <w:highlight w:val="green"/>
                        </w:rPr>
                        <w:t>Agreements</w:t>
                      </w:r>
                      <w:r w:rsidRPr="00AF1A70">
                        <w:rPr>
                          <w:szCs w:val="20"/>
                        </w:rPr>
                        <w:t>:</w:t>
                      </w:r>
                    </w:p>
                    <w:p w14:paraId="155C067B" w14:textId="77777777" w:rsidR="00444512" w:rsidRPr="00AF1A70" w:rsidRDefault="00444512" w:rsidP="00162CB8">
                      <w:pPr>
                        <w:pStyle w:val="BodyText"/>
                        <w:numPr>
                          <w:ilvl w:val="0"/>
                          <w:numId w:val="4"/>
                        </w:numPr>
                        <w:rPr>
                          <w:szCs w:val="20"/>
                        </w:rPr>
                      </w:pPr>
                      <w:r w:rsidRPr="00AF1A70">
                        <w:rPr>
                          <w:szCs w:val="20"/>
                        </w:rPr>
                        <w:t xml:space="preserve">DCI formats 0-0/1-0, 0-1, and 1-1 can have different sizes. </w:t>
                      </w:r>
                    </w:p>
                    <w:p w14:paraId="06716A8A" w14:textId="77777777" w:rsidR="00444512" w:rsidRPr="00AF1A70" w:rsidRDefault="00444512" w:rsidP="00162CB8">
                      <w:pPr>
                        <w:pStyle w:val="BodyText"/>
                        <w:numPr>
                          <w:ilvl w:val="0"/>
                          <w:numId w:val="4"/>
                        </w:numPr>
                        <w:rPr>
                          <w:szCs w:val="20"/>
                        </w:rPr>
                      </w:pPr>
                      <w:r w:rsidRPr="00AF1A70">
                        <w:rPr>
                          <w:szCs w:val="20"/>
                        </w:rPr>
                        <w:t>DCI formats 0-1 and 1-1 can be received in USS only. The size is determined by the active BWP.</w:t>
                      </w:r>
                    </w:p>
                    <w:p w14:paraId="4810D90B" w14:textId="77777777" w:rsidR="00444512" w:rsidRDefault="00444512" w:rsidP="00444512">
                      <w:pPr>
                        <w:pStyle w:val="BodyText"/>
                      </w:pPr>
                      <w:r>
                        <w:rPr>
                          <w:highlight w:val="darkYellow"/>
                        </w:rPr>
                        <w:t>W</w:t>
                      </w:r>
                      <w:r w:rsidRPr="00311C38">
                        <w:rPr>
                          <w:highlight w:val="darkYellow"/>
                        </w:rPr>
                        <w:t>orking assumption</w:t>
                      </w:r>
                      <w:r>
                        <w:t>:</w:t>
                      </w:r>
                    </w:p>
                    <w:p w14:paraId="49635B94" w14:textId="77777777" w:rsidR="00444512" w:rsidRDefault="00444512" w:rsidP="00162CB8">
                      <w:pPr>
                        <w:pStyle w:val="BodyText"/>
                        <w:numPr>
                          <w:ilvl w:val="0"/>
                          <w:numId w:val="5"/>
                        </w:numPr>
                      </w:pPr>
                      <w:r>
                        <w:t>When monitoring for DCI in a BWP, the size of DCI format 0-0/1-0 is given by</w:t>
                      </w:r>
                    </w:p>
                    <w:p w14:paraId="03BD1BC7" w14:textId="77777777" w:rsidR="00444512" w:rsidRDefault="00444512" w:rsidP="00162CB8">
                      <w:pPr>
                        <w:pStyle w:val="BodyText"/>
                        <w:numPr>
                          <w:ilvl w:val="0"/>
                          <w:numId w:val="5"/>
                        </w:numPr>
                        <w:ind w:left="1080"/>
                      </w:pPr>
                      <w:r>
                        <w:t>For format 0-0/1-0 (regardless of RNTI) in CSS, the size is given by the initial DL BWP</w:t>
                      </w:r>
                    </w:p>
                    <w:p w14:paraId="08DF6110" w14:textId="77777777" w:rsidR="00444512" w:rsidRDefault="00444512" w:rsidP="00162CB8">
                      <w:pPr>
                        <w:pStyle w:val="BodyText"/>
                        <w:numPr>
                          <w:ilvl w:val="0"/>
                          <w:numId w:val="5"/>
                        </w:numPr>
                        <w:ind w:left="1080"/>
                      </w:pPr>
                      <w:r>
                        <w:t xml:space="preserve">For format 0-0/1-0 in USS, the size is given by the active BWP as long as the DCI size budget is fulfilled </w:t>
                      </w:r>
                    </w:p>
                    <w:p w14:paraId="7C9B4607" w14:textId="77777777" w:rsidR="00444512" w:rsidRDefault="00444512" w:rsidP="00162CB8">
                      <w:pPr>
                        <w:pStyle w:val="BodyText"/>
                        <w:numPr>
                          <w:ilvl w:val="1"/>
                          <w:numId w:val="5"/>
                        </w:numPr>
                        <w:ind w:left="1800"/>
                      </w:pPr>
                      <w:r>
                        <w:t>FFS: Otherwise, for format 0-0/1-0, the size is given by the initial DL BWP</w:t>
                      </w:r>
                    </w:p>
                    <w:p w14:paraId="6BDA629E" w14:textId="77777777" w:rsidR="00444512" w:rsidRDefault="00444512" w:rsidP="00162CB8">
                      <w:pPr>
                        <w:pStyle w:val="BodyText"/>
                        <w:numPr>
                          <w:ilvl w:val="0"/>
                          <w:numId w:val="5"/>
                        </w:numPr>
                        <w:ind w:left="1080"/>
                      </w:pPr>
                      <w:r>
                        <w:t>FFS: how to meet the C-RNTI size and DCI size budget per slot</w:t>
                      </w:r>
                    </w:p>
                    <w:p w14:paraId="34062CC7" w14:textId="77777777" w:rsidR="00444512" w:rsidRDefault="00444512" w:rsidP="00162CB8">
                      <w:pPr>
                        <w:pStyle w:val="BodyText"/>
                        <w:numPr>
                          <w:ilvl w:val="1"/>
                          <w:numId w:val="5"/>
                        </w:numPr>
                        <w:ind w:left="1800"/>
                      </w:pPr>
                      <w:r>
                        <w:t>align 0-1 and 1-1</w:t>
                      </w:r>
                    </w:p>
                    <w:p w14:paraId="6BF09EFD" w14:textId="77777777" w:rsidR="00444512" w:rsidRDefault="00444512" w:rsidP="00162CB8">
                      <w:pPr>
                        <w:pStyle w:val="BodyText"/>
                        <w:numPr>
                          <w:ilvl w:val="1"/>
                          <w:numId w:val="5"/>
                        </w:numPr>
                        <w:ind w:left="1800"/>
                      </w:pPr>
                      <w:r>
                        <w:t>configure active BWP such that the DCI size is the same as of the initial BWP</w:t>
                      </w:r>
                    </w:p>
                    <w:p w14:paraId="091041CE" w14:textId="77777777" w:rsidR="00444512" w:rsidRDefault="00444512" w:rsidP="00162CB8">
                      <w:pPr>
                        <w:pStyle w:val="BodyText"/>
                        <w:numPr>
                          <w:ilvl w:val="1"/>
                          <w:numId w:val="5"/>
                        </w:numPr>
                        <w:ind w:left="1800"/>
                      </w:pPr>
                      <w:r>
                        <w:t>do not configure 0-1 and 1-1</w:t>
                      </w:r>
                    </w:p>
                    <w:p w14:paraId="4FB932E8" w14:textId="77777777" w:rsidR="00444512" w:rsidRDefault="00444512" w:rsidP="00162CB8">
                      <w:pPr>
                        <w:pStyle w:val="BodyText"/>
                        <w:numPr>
                          <w:ilvl w:val="1"/>
                          <w:numId w:val="5"/>
                        </w:numPr>
                        <w:ind w:left="1800"/>
                      </w:pPr>
                      <w:r>
                        <w:t>do not configure 0-0/1-0 in USS</w:t>
                      </w:r>
                    </w:p>
                    <w:p w14:paraId="0EE2DB88" w14:textId="77777777" w:rsidR="00444512" w:rsidRDefault="00444512" w:rsidP="00162CB8">
                      <w:pPr>
                        <w:pStyle w:val="BodyText"/>
                        <w:numPr>
                          <w:ilvl w:val="1"/>
                          <w:numId w:val="5"/>
                        </w:numPr>
                        <w:ind w:left="1800"/>
                      </w:pPr>
                      <w:r>
                        <w:t>other are not precluded</w:t>
                      </w:r>
                    </w:p>
                    <w:p w14:paraId="12A7AFAF" w14:textId="3E0A5A25" w:rsidR="00444512" w:rsidRDefault="00444512" w:rsidP="00162CB8">
                      <w:pPr>
                        <w:pStyle w:val="BodyText"/>
                        <w:numPr>
                          <w:ilvl w:val="0"/>
                          <w:numId w:val="5"/>
                        </w:numPr>
                        <w:ind w:left="1080"/>
                      </w:pPr>
                      <w:r>
                        <w:t>FFS: for format 0-0/1-0, how to interpret the frequency-domain field in a DCI with a size defined from a BWP with a different size than the BWP it is applied to</w:t>
                      </w:r>
                    </w:p>
                  </w:txbxContent>
                </v:textbox>
                <w10:anchorlock/>
              </v:shape>
            </w:pict>
          </mc:Fallback>
        </mc:AlternateContent>
      </w:r>
    </w:p>
    <w:p w14:paraId="710AE17A" w14:textId="52419E35" w:rsidR="00444512" w:rsidRDefault="00444512" w:rsidP="00444512">
      <w:pPr>
        <w:pStyle w:val="BodyText"/>
      </w:pPr>
    </w:p>
    <w:p w14:paraId="3A5F2D0C" w14:textId="12FF657E" w:rsidR="006F01A5" w:rsidRDefault="006F01A5" w:rsidP="00444512">
      <w:pPr>
        <w:pStyle w:val="BodyText"/>
      </w:pPr>
      <w:r>
        <w:t xml:space="preserve">These agreements and working assumptions are </w:t>
      </w:r>
      <w:r w:rsidR="00CF5891">
        <w:t>illustrated</w:t>
      </w:r>
      <w:r>
        <w:t xml:space="preserve"> in </w:t>
      </w:r>
      <w:r>
        <w:fldChar w:fldCharType="begin"/>
      </w:r>
      <w:r>
        <w:instrText xml:space="preserve"> REF _Ref509314781 \h </w:instrText>
      </w:r>
      <w:r>
        <w:fldChar w:fldCharType="separate"/>
      </w:r>
      <w:r>
        <w:t xml:space="preserve">Table </w:t>
      </w:r>
      <w:r>
        <w:rPr>
          <w:noProof/>
        </w:rPr>
        <w:t>2</w:t>
      </w:r>
      <w:r>
        <w:t>.</w:t>
      </w:r>
      <w:r>
        <w:rPr>
          <w:noProof/>
        </w:rPr>
        <w:t>1</w:t>
      </w:r>
      <w:r>
        <w:fldChar w:fldCharType="end"/>
      </w:r>
      <w:r w:rsidR="00CF5891">
        <w:t xml:space="preserve"> where the DCI size for different DCI formats and search spaces are listed as a function of the currently active bandwidth part in the UE. The “initial” bandwidth part is obtained as part of the initial access. The “default” and “wide” bandwidth parts are the bandwidth parts the UE can switch between in case of bandwidth adaptation; in absence of bandwidth adaptation being configured the UE only uses the “default” bandwidth part.</w:t>
      </w:r>
    </w:p>
    <w:p w14:paraId="04391F5B" w14:textId="5F7A284D" w:rsidR="006F01A5" w:rsidRDefault="006F01A5" w:rsidP="00444512">
      <w:pPr>
        <w:pStyle w:val="BodyText"/>
      </w:pPr>
    </w:p>
    <w:p w14:paraId="3091F741" w14:textId="11980074" w:rsidR="006F01A5" w:rsidRDefault="006F01A5" w:rsidP="006F01A5">
      <w:pPr>
        <w:pStyle w:val="Caption"/>
        <w:keepNext/>
      </w:pPr>
      <w:bookmarkStart w:id="4" w:name="_Ref509314781"/>
      <w:r>
        <w:t xml:space="preserve">Table </w:t>
      </w:r>
      <w:fldSimple w:instr=" STYLEREF 1 \s ">
        <w:r>
          <w:rPr>
            <w:noProof/>
          </w:rPr>
          <w:t>2</w:t>
        </w:r>
      </w:fldSimple>
      <w:r>
        <w:t>.</w:t>
      </w:r>
      <w:fldSimple w:instr=" SEQ Table \* ARABIC \s 1 ">
        <w:r>
          <w:rPr>
            <w:noProof/>
          </w:rPr>
          <w:t>1</w:t>
        </w:r>
      </w:fldSimple>
      <w:bookmarkEnd w:id="4"/>
      <w:r>
        <w:t>: DCI sizes.</w:t>
      </w:r>
    </w:p>
    <w:tbl>
      <w:tblPr>
        <w:tblStyle w:val="TableGrid"/>
        <w:tblW w:w="0" w:type="auto"/>
        <w:tblInd w:w="452" w:type="dxa"/>
        <w:tblLook w:val="04A0" w:firstRow="1" w:lastRow="0" w:firstColumn="1" w:lastColumn="0" w:noHBand="0" w:noVBand="1"/>
      </w:tblPr>
      <w:tblGrid>
        <w:gridCol w:w="1724"/>
        <w:gridCol w:w="1708"/>
        <w:gridCol w:w="1720"/>
        <w:gridCol w:w="1729"/>
        <w:gridCol w:w="1729"/>
      </w:tblGrid>
      <w:tr w:rsidR="006F01A5" w14:paraId="1DF30046" w14:textId="77777777" w:rsidTr="006F01A5">
        <w:trPr>
          <w:trHeight w:val="132"/>
        </w:trPr>
        <w:tc>
          <w:tcPr>
            <w:tcW w:w="1724" w:type="dxa"/>
            <w:vMerge w:val="restart"/>
            <w:shd w:val="clear" w:color="auto" w:fill="D9D9D9" w:themeFill="background1" w:themeFillShade="D9"/>
          </w:tcPr>
          <w:p w14:paraId="2268FC15" w14:textId="17F78F5F" w:rsidR="006F01A5" w:rsidRDefault="006F01A5" w:rsidP="00444512">
            <w:pPr>
              <w:pStyle w:val="BodyText"/>
            </w:pPr>
            <w:r>
              <w:t>DCI format</w:t>
            </w:r>
          </w:p>
        </w:tc>
        <w:tc>
          <w:tcPr>
            <w:tcW w:w="1708" w:type="dxa"/>
            <w:vMerge w:val="restart"/>
            <w:shd w:val="clear" w:color="auto" w:fill="D9D9D9" w:themeFill="background1" w:themeFillShade="D9"/>
          </w:tcPr>
          <w:p w14:paraId="309B6C86" w14:textId="124F337A" w:rsidR="006F01A5" w:rsidRDefault="006F01A5" w:rsidP="00444512">
            <w:pPr>
              <w:pStyle w:val="BodyText"/>
            </w:pPr>
            <w:r>
              <w:t>USS or CSS</w:t>
            </w:r>
          </w:p>
        </w:tc>
        <w:tc>
          <w:tcPr>
            <w:tcW w:w="5178" w:type="dxa"/>
            <w:gridSpan w:val="3"/>
            <w:tcBorders>
              <w:bottom w:val="nil"/>
            </w:tcBorders>
            <w:shd w:val="clear" w:color="auto" w:fill="D9D9D9" w:themeFill="background1" w:themeFillShade="D9"/>
          </w:tcPr>
          <w:p w14:paraId="0FF75134" w14:textId="54585849" w:rsidR="006F01A5" w:rsidRDefault="006F01A5" w:rsidP="006F01A5">
            <w:pPr>
              <w:pStyle w:val="BodyText"/>
              <w:jc w:val="center"/>
            </w:pPr>
            <w:r>
              <w:t>Active BWP</w:t>
            </w:r>
          </w:p>
        </w:tc>
      </w:tr>
      <w:tr w:rsidR="006F01A5" w14:paraId="4B3BCF98" w14:textId="77777777" w:rsidTr="006F01A5">
        <w:tc>
          <w:tcPr>
            <w:tcW w:w="1724" w:type="dxa"/>
            <w:vMerge/>
            <w:shd w:val="clear" w:color="auto" w:fill="D9D9D9" w:themeFill="background1" w:themeFillShade="D9"/>
          </w:tcPr>
          <w:p w14:paraId="0E5E42BE" w14:textId="77777777" w:rsidR="006F01A5" w:rsidRDefault="006F01A5" w:rsidP="00444512">
            <w:pPr>
              <w:pStyle w:val="BodyText"/>
            </w:pPr>
          </w:p>
        </w:tc>
        <w:tc>
          <w:tcPr>
            <w:tcW w:w="1708" w:type="dxa"/>
            <w:vMerge/>
            <w:shd w:val="clear" w:color="auto" w:fill="D9D9D9" w:themeFill="background1" w:themeFillShade="D9"/>
          </w:tcPr>
          <w:p w14:paraId="5133272C" w14:textId="77777777" w:rsidR="006F01A5" w:rsidRDefault="006F01A5" w:rsidP="00444512">
            <w:pPr>
              <w:pStyle w:val="BodyText"/>
            </w:pPr>
          </w:p>
        </w:tc>
        <w:tc>
          <w:tcPr>
            <w:tcW w:w="1720" w:type="dxa"/>
            <w:tcBorders>
              <w:top w:val="nil"/>
            </w:tcBorders>
            <w:shd w:val="clear" w:color="auto" w:fill="D9D9D9" w:themeFill="background1" w:themeFillShade="D9"/>
          </w:tcPr>
          <w:p w14:paraId="3272AD02" w14:textId="730DD18C" w:rsidR="006F01A5" w:rsidRDefault="006F01A5" w:rsidP="006F01A5">
            <w:pPr>
              <w:pStyle w:val="BodyText"/>
              <w:jc w:val="center"/>
            </w:pPr>
            <w:r>
              <w:t>Initial</w:t>
            </w:r>
          </w:p>
        </w:tc>
        <w:tc>
          <w:tcPr>
            <w:tcW w:w="1729" w:type="dxa"/>
            <w:tcBorders>
              <w:top w:val="nil"/>
            </w:tcBorders>
            <w:shd w:val="clear" w:color="auto" w:fill="D9D9D9" w:themeFill="background1" w:themeFillShade="D9"/>
          </w:tcPr>
          <w:p w14:paraId="74640063" w14:textId="51A29EDB" w:rsidR="006F01A5" w:rsidRDefault="006F01A5" w:rsidP="006F01A5">
            <w:pPr>
              <w:pStyle w:val="BodyText"/>
              <w:jc w:val="center"/>
            </w:pPr>
            <w:r>
              <w:t>Default</w:t>
            </w:r>
          </w:p>
        </w:tc>
        <w:tc>
          <w:tcPr>
            <w:tcW w:w="1729" w:type="dxa"/>
            <w:tcBorders>
              <w:top w:val="nil"/>
            </w:tcBorders>
            <w:shd w:val="clear" w:color="auto" w:fill="D9D9D9" w:themeFill="background1" w:themeFillShade="D9"/>
          </w:tcPr>
          <w:p w14:paraId="3B6FCDED" w14:textId="236A92D1" w:rsidR="006F01A5" w:rsidRDefault="006F01A5" w:rsidP="006F01A5">
            <w:pPr>
              <w:pStyle w:val="BodyText"/>
              <w:jc w:val="center"/>
            </w:pPr>
            <w:r>
              <w:t>“wide”</w:t>
            </w:r>
          </w:p>
        </w:tc>
      </w:tr>
      <w:tr w:rsidR="006F01A5" w14:paraId="4C994A7A" w14:textId="77777777" w:rsidTr="006F01A5">
        <w:tc>
          <w:tcPr>
            <w:tcW w:w="1724" w:type="dxa"/>
            <w:vAlign w:val="center"/>
          </w:tcPr>
          <w:p w14:paraId="5097D388" w14:textId="51807D9C" w:rsidR="006F01A5" w:rsidRDefault="006F01A5" w:rsidP="006F01A5">
            <w:pPr>
              <w:pStyle w:val="BodyText"/>
              <w:jc w:val="left"/>
            </w:pPr>
            <w:r>
              <w:t>0-0/1-0</w:t>
            </w:r>
          </w:p>
        </w:tc>
        <w:tc>
          <w:tcPr>
            <w:tcW w:w="1708" w:type="dxa"/>
            <w:vAlign w:val="center"/>
          </w:tcPr>
          <w:p w14:paraId="6B9AF606" w14:textId="7625B28D" w:rsidR="006F01A5" w:rsidRDefault="006F01A5" w:rsidP="006F01A5">
            <w:pPr>
              <w:pStyle w:val="BodyText"/>
              <w:jc w:val="left"/>
            </w:pPr>
            <w:r>
              <w:t>CSS</w:t>
            </w:r>
          </w:p>
        </w:tc>
        <w:tc>
          <w:tcPr>
            <w:tcW w:w="5178" w:type="dxa"/>
            <w:gridSpan w:val="3"/>
            <w:tcBorders>
              <w:bottom w:val="nil"/>
            </w:tcBorders>
            <w:shd w:val="clear" w:color="auto" w:fill="FBD4B4" w:themeFill="accent6" w:themeFillTint="66"/>
            <w:vAlign w:val="center"/>
          </w:tcPr>
          <w:p w14:paraId="459A541A" w14:textId="60B7AFAB" w:rsidR="006F01A5" w:rsidRDefault="006F01A5" w:rsidP="006F01A5">
            <w:pPr>
              <w:pStyle w:val="BodyText"/>
              <w:jc w:val="left"/>
            </w:pPr>
            <w:r>
              <w:t>Size A0</w:t>
            </w:r>
          </w:p>
        </w:tc>
      </w:tr>
      <w:tr w:rsidR="006F01A5" w14:paraId="33B0884F" w14:textId="77777777" w:rsidTr="006F01A5">
        <w:tc>
          <w:tcPr>
            <w:tcW w:w="1724" w:type="dxa"/>
            <w:vAlign w:val="center"/>
          </w:tcPr>
          <w:p w14:paraId="6D7511B3" w14:textId="5E1000F0" w:rsidR="006F01A5" w:rsidRDefault="006F01A5" w:rsidP="006F01A5">
            <w:pPr>
              <w:pStyle w:val="BodyText"/>
              <w:jc w:val="left"/>
            </w:pPr>
            <w:r>
              <w:t>0-0/1-0</w:t>
            </w:r>
          </w:p>
        </w:tc>
        <w:tc>
          <w:tcPr>
            <w:tcW w:w="1708" w:type="dxa"/>
            <w:vAlign w:val="center"/>
          </w:tcPr>
          <w:p w14:paraId="3F34E133" w14:textId="48901E86" w:rsidR="006F01A5" w:rsidRDefault="006F01A5" w:rsidP="006F01A5">
            <w:pPr>
              <w:pStyle w:val="BodyText"/>
              <w:jc w:val="left"/>
            </w:pPr>
            <w:r>
              <w:t>USS</w:t>
            </w:r>
          </w:p>
        </w:tc>
        <w:tc>
          <w:tcPr>
            <w:tcW w:w="1720" w:type="dxa"/>
            <w:tcBorders>
              <w:top w:val="nil"/>
              <w:right w:val="single" w:sz="4" w:space="0" w:color="auto"/>
            </w:tcBorders>
            <w:shd w:val="clear" w:color="auto" w:fill="FBD4B4" w:themeFill="accent6" w:themeFillTint="66"/>
            <w:vAlign w:val="center"/>
          </w:tcPr>
          <w:p w14:paraId="6AB042B5" w14:textId="77777777" w:rsidR="006F01A5" w:rsidRDefault="006F01A5" w:rsidP="006F01A5">
            <w:pPr>
              <w:pStyle w:val="BodyText"/>
              <w:jc w:val="left"/>
            </w:pPr>
          </w:p>
        </w:tc>
        <w:tc>
          <w:tcPr>
            <w:tcW w:w="1729" w:type="dxa"/>
            <w:tcBorders>
              <w:left w:val="single" w:sz="4" w:space="0" w:color="auto"/>
            </w:tcBorders>
            <w:vAlign w:val="center"/>
          </w:tcPr>
          <w:p w14:paraId="06FC0A26" w14:textId="557C5425" w:rsidR="006F01A5" w:rsidRDefault="006F01A5" w:rsidP="006F01A5">
            <w:pPr>
              <w:pStyle w:val="BodyText"/>
              <w:jc w:val="left"/>
            </w:pPr>
            <w:r>
              <w:t>Size A1</w:t>
            </w:r>
          </w:p>
        </w:tc>
        <w:tc>
          <w:tcPr>
            <w:tcW w:w="1729" w:type="dxa"/>
            <w:vAlign w:val="center"/>
          </w:tcPr>
          <w:p w14:paraId="0E1E18F8" w14:textId="18CE89A0" w:rsidR="006F01A5" w:rsidRDefault="006F01A5" w:rsidP="006F01A5">
            <w:pPr>
              <w:pStyle w:val="BodyText"/>
              <w:jc w:val="left"/>
            </w:pPr>
            <w:r>
              <w:t>Size A2</w:t>
            </w:r>
          </w:p>
        </w:tc>
      </w:tr>
      <w:tr w:rsidR="006F01A5" w14:paraId="2D580587" w14:textId="77777777" w:rsidTr="006F01A5">
        <w:tc>
          <w:tcPr>
            <w:tcW w:w="1724" w:type="dxa"/>
            <w:vAlign w:val="center"/>
          </w:tcPr>
          <w:p w14:paraId="7F417528" w14:textId="6BBEF35E" w:rsidR="006F01A5" w:rsidRDefault="006F01A5" w:rsidP="006F01A5">
            <w:pPr>
              <w:pStyle w:val="BodyText"/>
              <w:jc w:val="left"/>
            </w:pPr>
            <w:r>
              <w:t>0-1</w:t>
            </w:r>
          </w:p>
        </w:tc>
        <w:tc>
          <w:tcPr>
            <w:tcW w:w="1708" w:type="dxa"/>
            <w:vAlign w:val="center"/>
          </w:tcPr>
          <w:p w14:paraId="0D38843C" w14:textId="7993CBC9" w:rsidR="006F01A5" w:rsidRDefault="006F01A5" w:rsidP="006F01A5">
            <w:pPr>
              <w:pStyle w:val="BodyText"/>
              <w:jc w:val="left"/>
            </w:pPr>
            <w:r>
              <w:t>USS</w:t>
            </w:r>
          </w:p>
        </w:tc>
        <w:tc>
          <w:tcPr>
            <w:tcW w:w="1720" w:type="dxa"/>
            <w:vAlign w:val="center"/>
          </w:tcPr>
          <w:p w14:paraId="4C359949" w14:textId="4173D16C" w:rsidR="006F01A5" w:rsidRDefault="006F01A5" w:rsidP="006F01A5">
            <w:pPr>
              <w:pStyle w:val="BodyText"/>
              <w:jc w:val="left"/>
            </w:pPr>
            <w:r>
              <w:t>Size B0</w:t>
            </w:r>
          </w:p>
        </w:tc>
        <w:tc>
          <w:tcPr>
            <w:tcW w:w="1729" w:type="dxa"/>
            <w:vAlign w:val="center"/>
          </w:tcPr>
          <w:p w14:paraId="3F4654CB" w14:textId="2FA72EB5" w:rsidR="006F01A5" w:rsidRDefault="006F01A5" w:rsidP="006F01A5">
            <w:pPr>
              <w:pStyle w:val="BodyText"/>
              <w:jc w:val="left"/>
            </w:pPr>
            <w:r>
              <w:t>Size B1</w:t>
            </w:r>
          </w:p>
        </w:tc>
        <w:tc>
          <w:tcPr>
            <w:tcW w:w="1729" w:type="dxa"/>
            <w:vAlign w:val="center"/>
          </w:tcPr>
          <w:p w14:paraId="082FD055" w14:textId="57B34FFF" w:rsidR="006F01A5" w:rsidRDefault="006F01A5" w:rsidP="006F01A5">
            <w:pPr>
              <w:pStyle w:val="BodyText"/>
              <w:jc w:val="left"/>
            </w:pPr>
            <w:r>
              <w:t>Size B2</w:t>
            </w:r>
          </w:p>
        </w:tc>
      </w:tr>
      <w:tr w:rsidR="006F01A5" w14:paraId="71A5C4A6" w14:textId="77777777" w:rsidTr="006F01A5">
        <w:tc>
          <w:tcPr>
            <w:tcW w:w="1724" w:type="dxa"/>
            <w:vAlign w:val="center"/>
          </w:tcPr>
          <w:p w14:paraId="125C7BDA" w14:textId="1386059A" w:rsidR="006F01A5" w:rsidRDefault="006F01A5" w:rsidP="006F01A5">
            <w:pPr>
              <w:pStyle w:val="BodyText"/>
              <w:jc w:val="left"/>
            </w:pPr>
            <w:r>
              <w:t>1-1</w:t>
            </w:r>
          </w:p>
        </w:tc>
        <w:tc>
          <w:tcPr>
            <w:tcW w:w="1708" w:type="dxa"/>
            <w:vAlign w:val="center"/>
          </w:tcPr>
          <w:p w14:paraId="01081F35" w14:textId="1504E9F7" w:rsidR="006F01A5" w:rsidRDefault="006F01A5" w:rsidP="006F01A5">
            <w:pPr>
              <w:pStyle w:val="BodyText"/>
              <w:jc w:val="left"/>
            </w:pPr>
            <w:r>
              <w:t>USS</w:t>
            </w:r>
          </w:p>
        </w:tc>
        <w:tc>
          <w:tcPr>
            <w:tcW w:w="1720" w:type="dxa"/>
            <w:vAlign w:val="center"/>
          </w:tcPr>
          <w:p w14:paraId="2FA1F2E5" w14:textId="31FB3A85" w:rsidR="006F01A5" w:rsidRDefault="006F01A5" w:rsidP="006F01A5">
            <w:pPr>
              <w:pStyle w:val="BodyText"/>
              <w:jc w:val="left"/>
            </w:pPr>
            <w:r>
              <w:t>Size C0</w:t>
            </w:r>
          </w:p>
        </w:tc>
        <w:tc>
          <w:tcPr>
            <w:tcW w:w="1729" w:type="dxa"/>
            <w:vAlign w:val="center"/>
          </w:tcPr>
          <w:p w14:paraId="72F00F56" w14:textId="75851CA6" w:rsidR="006F01A5" w:rsidRDefault="006F01A5" w:rsidP="006F01A5">
            <w:pPr>
              <w:pStyle w:val="BodyText"/>
              <w:jc w:val="left"/>
            </w:pPr>
            <w:r>
              <w:t>Size C1</w:t>
            </w:r>
          </w:p>
        </w:tc>
        <w:tc>
          <w:tcPr>
            <w:tcW w:w="1729" w:type="dxa"/>
            <w:vAlign w:val="center"/>
          </w:tcPr>
          <w:p w14:paraId="7E893AE8" w14:textId="26A56A40" w:rsidR="006F01A5" w:rsidRDefault="006F01A5" w:rsidP="006F01A5">
            <w:pPr>
              <w:pStyle w:val="BodyText"/>
              <w:jc w:val="left"/>
            </w:pPr>
            <w:r>
              <w:t>Size C2</w:t>
            </w:r>
          </w:p>
        </w:tc>
      </w:tr>
      <w:tr w:rsidR="006F01A5" w14:paraId="351815E8" w14:textId="77777777" w:rsidTr="006F01A5">
        <w:tc>
          <w:tcPr>
            <w:tcW w:w="1724" w:type="dxa"/>
            <w:vAlign w:val="center"/>
          </w:tcPr>
          <w:p w14:paraId="432DE555" w14:textId="6A4A9B3B" w:rsidR="006F01A5" w:rsidRDefault="006F01A5" w:rsidP="006F01A5">
            <w:pPr>
              <w:pStyle w:val="BodyText"/>
              <w:jc w:val="left"/>
            </w:pPr>
            <w:r>
              <w:t>2-0</w:t>
            </w:r>
          </w:p>
        </w:tc>
        <w:tc>
          <w:tcPr>
            <w:tcW w:w="1708" w:type="dxa"/>
            <w:vAlign w:val="center"/>
          </w:tcPr>
          <w:p w14:paraId="52C3B848" w14:textId="7FD880F1" w:rsidR="006F01A5" w:rsidRDefault="006F01A5" w:rsidP="006F01A5">
            <w:pPr>
              <w:pStyle w:val="BodyText"/>
              <w:jc w:val="left"/>
            </w:pPr>
            <w:r>
              <w:t>CSS</w:t>
            </w:r>
          </w:p>
        </w:tc>
        <w:tc>
          <w:tcPr>
            <w:tcW w:w="5178" w:type="dxa"/>
            <w:gridSpan w:val="3"/>
            <w:vAlign w:val="center"/>
          </w:tcPr>
          <w:p w14:paraId="7D47586C" w14:textId="514BEBD5" w:rsidR="006F01A5" w:rsidRDefault="006F01A5" w:rsidP="006F01A5">
            <w:pPr>
              <w:pStyle w:val="BodyText"/>
              <w:jc w:val="center"/>
            </w:pPr>
            <w:r>
              <w:t>Size D (up to 128 bits)</w:t>
            </w:r>
          </w:p>
        </w:tc>
      </w:tr>
      <w:tr w:rsidR="006F01A5" w14:paraId="2D10BEA6" w14:textId="77777777" w:rsidTr="006F01A5">
        <w:tc>
          <w:tcPr>
            <w:tcW w:w="1724" w:type="dxa"/>
            <w:vAlign w:val="center"/>
          </w:tcPr>
          <w:p w14:paraId="6E8169F0" w14:textId="6900F670" w:rsidR="006F01A5" w:rsidRDefault="006F01A5" w:rsidP="006F01A5">
            <w:pPr>
              <w:pStyle w:val="BodyText"/>
              <w:jc w:val="left"/>
            </w:pPr>
            <w:r>
              <w:t>2-1</w:t>
            </w:r>
          </w:p>
        </w:tc>
        <w:tc>
          <w:tcPr>
            <w:tcW w:w="1708" w:type="dxa"/>
            <w:vAlign w:val="center"/>
          </w:tcPr>
          <w:p w14:paraId="75CA1DCF" w14:textId="290C45EC" w:rsidR="006F01A5" w:rsidRDefault="006F01A5" w:rsidP="006F01A5">
            <w:pPr>
              <w:pStyle w:val="BodyText"/>
              <w:jc w:val="left"/>
            </w:pPr>
            <w:r>
              <w:t>CSS</w:t>
            </w:r>
          </w:p>
        </w:tc>
        <w:tc>
          <w:tcPr>
            <w:tcW w:w="5178" w:type="dxa"/>
            <w:gridSpan w:val="3"/>
            <w:vAlign w:val="center"/>
          </w:tcPr>
          <w:p w14:paraId="3AF3910F" w14:textId="26A8EFA6" w:rsidR="006F01A5" w:rsidRDefault="006F01A5" w:rsidP="006F01A5">
            <w:pPr>
              <w:pStyle w:val="BodyText"/>
              <w:jc w:val="center"/>
            </w:pPr>
            <w:r>
              <w:t>Size E (up to 126 bits)</w:t>
            </w:r>
          </w:p>
        </w:tc>
      </w:tr>
      <w:tr w:rsidR="006F01A5" w14:paraId="78D08499" w14:textId="77777777" w:rsidTr="006F01A5">
        <w:tc>
          <w:tcPr>
            <w:tcW w:w="1724" w:type="dxa"/>
            <w:vAlign w:val="center"/>
          </w:tcPr>
          <w:p w14:paraId="63F36CFB" w14:textId="14EC5837" w:rsidR="006F01A5" w:rsidRDefault="006F01A5" w:rsidP="006F01A5">
            <w:pPr>
              <w:pStyle w:val="BodyText"/>
              <w:jc w:val="left"/>
            </w:pPr>
            <w:r>
              <w:t>2-2</w:t>
            </w:r>
          </w:p>
        </w:tc>
        <w:tc>
          <w:tcPr>
            <w:tcW w:w="1708" w:type="dxa"/>
            <w:vAlign w:val="center"/>
          </w:tcPr>
          <w:p w14:paraId="0CA8CF0D" w14:textId="0DA3C2CD" w:rsidR="006F01A5" w:rsidRDefault="006F01A5" w:rsidP="006F01A5">
            <w:pPr>
              <w:pStyle w:val="BodyText"/>
              <w:jc w:val="left"/>
            </w:pPr>
            <w:r>
              <w:t>CSS</w:t>
            </w:r>
          </w:p>
        </w:tc>
        <w:tc>
          <w:tcPr>
            <w:tcW w:w="5178" w:type="dxa"/>
            <w:gridSpan w:val="3"/>
            <w:vMerge w:val="restart"/>
            <w:vAlign w:val="center"/>
          </w:tcPr>
          <w:p w14:paraId="08C4968E" w14:textId="72E473DB" w:rsidR="006F01A5" w:rsidRDefault="006F01A5" w:rsidP="006F01A5">
            <w:pPr>
              <w:pStyle w:val="BodyText"/>
              <w:jc w:val="center"/>
            </w:pPr>
            <w:r>
              <w:t>Size F</w:t>
            </w:r>
          </w:p>
        </w:tc>
      </w:tr>
      <w:tr w:rsidR="006F01A5" w14:paraId="0E5044E5" w14:textId="77777777" w:rsidTr="006F01A5">
        <w:tc>
          <w:tcPr>
            <w:tcW w:w="1724" w:type="dxa"/>
          </w:tcPr>
          <w:p w14:paraId="2B31A296" w14:textId="0B22CE5D" w:rsidR="006F01A5" w:rsidRDefault="006F01A5" w:rsidP="00444512">
            <w:pPr>
              <w:pStyle w:val="BodyText"/>
            </w:pPr>
            <w:r>
              <w:t>2-3</w:t>
            </w:r>
          </w:p>
        </w:tc>
        <w:tc>
          <w:tcPr>
            <w:tcW w:w="1708" w:type="dxa"/>
          </w:tcPr>
          <w:p w14:paraId="2A372F4F" w14:textId="12D035F8" w:rsidR="006F01A5" w:rsidRDefault="006F01A5" w:rsidP="00444512">
            <w:pPr>
              <w:pStyle w:val="BodyText"/>
            </w:pPr>
            <w:r>
              <w:t>CSS</w:t>
            </w:r>
          </w:p>
        </w:tc>
        <w:tc>
          <w:tcPr>
            <w:tcW w:w="5178" w:type="dxa"/>
            <w:gridSpan w:val="3"/>
            <w:vMerge/>
          </w:tcPr>
          <w:p w14:paraId="1C629DE6" w14:textId="77777777" w:rsidR="006F01A5" w:rsidRDefault="006F01A5" w:rsidP="00444512">
            <w:pPr>
              <w:pStyle w:val="BodyText"/>
            </w:pPr>
          </w:p>
        </w:tc>
      </w:tr>
    </w:tbl>
    <w:p w14:paraId="6C6909C8" w14:textId="77777777" w:rsidR="006F01A5" w:rsidRDefault="006F01A5" w:rsidP="00444512">
      <w:pPr>
        <w:pStyle w:val="BodyText"/>
      </w:pPr>
    </w:p>
    <w:p w14:paraId="01B547E5" w14:textId="77777777" w:rsidR="00CF5891" w:rsidRDefault="00CF5891" w:rsidP="00444512">
      <w:pPr>
        <w:pStyle w:val="BodyText"/>
      </w:pPr>
      <w:r>
        <w:t>As seen from the table, there are at least three open issues with the current agreements on DCI sizes:</w:t>
      </w:r>
    </w:p>
    <w:p w14:paraId="50B5879A" w14:textId="5EDE1D3D" w:rsidR="006F01A5" w:rsidRDefault="00CF5891" w:rsidP="00162CB8">
      <w:pPr>
        <w:pStyle w:val="BodyText"/>
        <w:numPr>
          <w:ilvl w:val="0"/>
          <w:numId w:val="7"/>
        </w:numPr>
      </w:pPr>
      <w:r>
        <w:t>It is not in line with the current working assumption on “3+1 DCI sizes” as there can be up to 4 sizes with C-RNTI.</w:t>
      </w:r>
    </w:p>
    <w:p w14:paraId="0A14A127" w14:textId="410BF736" w:rsidR="00CF5891" w:rsidRDefault="00CF5891" w:rsidP="00162CB8">
      <w:pPr>
        <w:pStyle w:val="BodyText"/>
        <w:numPr>
          <w:ilvl w:val="0"/>
          <w:numId w:val="7"/>
        </w:numPr>
      </w:pPr>
      <w:r>
        <w:t>Applying DCI size A0 to another BWP than the initial one (for which the DCI size is defined) needs to be defined.</w:t>
      </w:r>
    </w:p>
    <w:p w14:paraId="03179AB4" w14:textId="08928877" w:rsidR="00CF5891" w:rsidRDefault="00CF5891" w:rsidP="00162CB8">
      <w:pPr>
        <w:pStyle w:val="BodyText"/>
        <w:numPr>
          <w:ilvl w:val="0"/>
          <w:numId w:val="7"/>
        </w:numPr>
      </w:pPr>
      <w:r>
        <w:t>How to handle the 2-x family of DCI sizes as 2-0, 2-1, and 2-2/2-3 all can have different sizes?</w:t>
      </w:r>
    </w:p>
    <w:p w14:paraId="7889EB29" w14:textId="77777777" w:rsidR="00116AFF" w:rsidRDefault="00116AFF" w:rsidP="00116AFF">
      <w:pPr>
        <w:pStyle w:val="BodyText"/>
      </w:pPr>
    </w:p>
    <w:p w14:paraId="37E9FB2D" w14:textId="7CD2B155" w:rsidR="00444512" w:rsidRDefault="00116AFF" w:rsidP="00116AFF">
      <w:pPr>
        <w:pStyle w:val="Heading1"/>
      </w:pPr>
      <w:r>
        <w:t>Number of DCI sizes for C-RNTI</w:t>
      </w:r>
    </w:p>
    <w:p w14:paraId="39EA0510" w14:textId="363283B1" w:rsidR="00116AFF" w:rsidRDefault="00116AFF" w:rsidP="00116AFF">
      <w:pPr>
        <w:pStyle w:val="BodyText"/>
      </w:pPr>
      <w:r>
        <w:t>DCI formats 0-0/1-0, 0-1, and 1-1 can all be used with C-RNTI (formats 0-0/1-0 can also be used with other RNTIs).</w:t>
      </w:r>
      <w:r w:rsidR="00231DAB">
        <w:t xml:space="preserve"> As seen from the table, there can thus be up to 4 different DCI sizes with C-RNTI (A0/A1/B1/C1 in case of the default BWP is active and A0/A2/B2/C2 in case the “wide” BWP is active) which is not in line with the working assumption of at most 3 DCI sizes with the C-RNTI.</w:t>
      </w:r>
    </w:p>
    <w:p w14:paraId="4AF2E768" w14:textId="631DE541" w:rsidR="00231DAB" w:rsidRDefault="00231DAB" w:rsidP="00116AFF">
      <w:pPr>
        <w:pStyle w:val="BodyText"/>
      </w:pPr>
      <w:bookmarkStart w:id="5" w:name="_Hlk509819236"/>
      <w:r>
        <w:t>Possible remedies include</w:t>
      </w:r>
      <w:r w:rsidR="00830625">
        <w:t xml:space="preserve"> (several of these were mentioned at RAN1#92)</w:t>
      </w:r>
      <w:r>
        <w:t>:</w:t>
      </w:r>
    </w:p>
    <w:p w14:paraId="564991B7" w14:textId="1762AB80" w:rsidR="00C1299F" w:rsidRDefault="00C1299F" w:rsidP="00162CB8">
      <w:pPr>
        <w:pStyle w:val="BodyText"/>
        <w:numPr>
          <w:ilvl w:val="0"/>
          <w:numId w:val="8"/>
        </w:numPr>
      </w:pPr>
      <w:r>
        <w:t>Increase the DCI size budget to handle 4 DCI sizes with C-RNTI.</w:t>
      </w:r>
    </w:p>
    <w:p w14:paraId="3F5A12A9" w14:textId="3BD23BCF" w:rsidR="00C1299F" w:rsidRDefault="00C1299F" w:rsidP="00162CB8">
      <w:pPr>
        <w:pStyle w:val="BodyText"/>
        <w:numPr>
          <w:ilvl w:val="1"/>
          <w:numId w:val="8"/>
        </w:numPr>
      </w:pPr>
      <w:r>
        <w:t>Specification-wise simple. Provides additional flexibility.</w:t>
      </w:r>
    </w:p>
    <w:p w14:paraId="52C28834" w14:textId="2AA9A293" w:rsidR="00C1299F" w:rsidRDefault="00C1299F" w:rsidP="00162CB8">
      <w:pPr>
        <w:pStyle w:val="BodyText"/>
        <w:numPr>
          <w:ilvl w:val="1"/>
          <w:numId w:val="8"/>
        </w:numPr>
      </w:pPr>
      <w:r>
        <w:t xml:space="preserve">Not </w:t>
      </w:r>
      <w:r w:rsidR="008B0D82">
        <w:t>in line</w:t>
      </w:r>
      <w:r>
        <w:t xml:space="preserve"> with the WA “a</w:t>
      </w:r>
      <w:r w:rsidRPr="00C1299F">
        <w:t>t most 3 different DCI sizes are monitored per C-RNTI per slot</w:t>
      </w:r>
      <w:r>
        <w:t>”</w:t>
      </w:r>
    </w:p>
    <w:p w14:paraId="286CE96F" w14:textId="3F3FBF63" w:rsidR="008B0D82" w:rsidRDefault="008B0D82" w:rsidP="008B0D82">
      <w:pPr>
        <w:pStyle w:val="BodyText"/>
        <w:numPr>
          <w:ilvl w:val="0"/>
          <w:numId w:val="8"/>
        </w:numPr>
      </w:pPr>
      <w:r>
        <w:t>Allow sizes A1/A2</w:t>
      </w:r>
      <w:r w:rsidR="00E22A4C">
        <w:t xml:space="preserve"> </w:t>
      </w:r>
      <w:r>
        <w:t>in the table above as long as the “3+1” budget is fulfilled. If the configuration is such that this is not possible, use size A0 for 0-0/1-0 in both CSS and USS, i.e. confirm the WA from RAN1#91bis with the FFS removed:</w:t>
      </w:r>
    </w:p>
    <w:p w14:paraId="75441014" w14:textId="77777777" w:rsidR="008B0D82" w:rsidRPr="008B0D82" w:rsidRDefault="008B0D82" w:rsidP="008B0D82">
      <w:pPr>
        <w:pStyle w:val="BodyText"/>
        <w:numPr>
          <w:ilvl w:val="1"/>
          <w:numId w:val="8"/>
        </w:numPr>
        <w:rPr>
          <w:i/>
        </w:rPr>
      </w:pPr>
      <w:r w:rsidRPr="008B0D82">
        <w:rPr>
          <w:i/>
        </w:rPr>
        <w:t>For format 0-0/1-0 in USS, the size is given by the active BWP as long as the DCI size budget is fulfilled</w:t>
      </w:r>
    </w:p>
    <w:p w14:paraId="67F1ABA6" w14:textId="1FA841CD" w:rsidR="008B0D82" w:rsidRPr="008B0D82" w:rsidRDefault="008B0D82" w:rsidP="008B0D82">
      <w:pPr>
        <w:pStyle w:val="BodyText"/>
        <w:numPr>
          <w:ilvl w:val="2"/>
          <w:numId w:val="9"/>
        </w:numPr>
        <w:rPr>
          <w:i/>
        </w:rPr>
      </w:pPr>
      <w:r w:rsidRPr="008B0D82">
        <w:rPr>
          <w:i/>
        </w:rPr>
        <w:t>Otherwise, for format 0-0/1-0, the size is given by the initial DL BWP</w:t>
      </w:r>
    </w:p>
    <w:p w14:paraId="41BAFE6F" w14:textId="62A7E510" w:rsidR="00C1299F" w:rsidRDefault="00231DAB" w:rsidP="00162CB8">
      <w:pPr>
        <w:pStyle w:val="BodyText"/>
        <w:numPr>
          <w:ilvl w:val="0"/>
          <w:numId w:val="8"/>
        </w:numPr>
      </w:pPr>
      <w:r>
        <w:t>Do no</w:t>
      </w:r>
      <w:r w:rsidR="00DE597E">
        <w:t>t</w:t>
      </w:r>
      <w:r>
        <w:t xml:space="preserve"> monitor </w:t>
      </w:r>
      <w:r w:rsidR="00DE597E">
        <w:t xml:space="preserve">DCI formats </w:t>
      </w:r>
      <w:r>
        <w:t xml:space="preserve">0-0/1-0 with C-RNTI in CSS, at least not when another BWP than the initial </w:t>
      </w:r>
      <w:r w:rsidR="00C1299F">
        <w:t>BWP</w:t>
      </w:r>
      <w:r>
        <w:t xml:space="preserve"> is active.</w:t>
      </w:r>
    </w:p>
    <w:p w14:paraId="05A586C0" w14:textId="77777777" w:rsidR="00E22A4C" w:rsidRDefault="00E22A4C" w:rsidP="00E22A4C">
      <w:pPr>
        <w:pStyle w:val="BodyText"/>
        <w:numPr>
          <w:ilvl w:val="1"/>
          <w:numId w:val="8"/>
        </w:numPr>
      </w:pPr>
      <w:r>
        <w:t>Some impact on the possible payload sizes for the formats in the 2-x family; 0-0/1-0 in CSS with other RNTIs than C-RNTI (e.g. P-RNTI, SI-RNTI) need to use the “+1” size in the “3+1” budget, leaving no additional sizes for the 2-x family.</w:t>
      </w:r>
    </w:p>
    <w:p w14:paraId="2260216E" w14:textId="60125689" w:rsidR="00C1299F" w:rsidRDefault="00C1299F" w:rsidP="00162CB8">
      <w:pPr>
        <w:pStyle w:val="BodyText"/>
        <w:numPr>
          <w:ilvl w:val="0"/>
          <w:numId w:val="8"/>
        </w:numPr>
      </w:pPr>
      <w:r>
        <w:t xml:space="preserve">Do not </w:t>
      </w:r>
      <w:r w:rsidR="00DE597E">
        <w:t>monitor</w:t>
      </w:r>
      <w:r>
        <w:t xml:space="preserve"> DCI formats 0-0/1-0 </w:t>
      </w:r>
      <w:r w:rsidR="00DE597E">
        <w:t xml:space="preserve">with C-RNTI </w:t>
      </w:r>
      <w:r>
        <w:t>in USS</w:t>
      </w:r>
      <w:r w:rsidR="000409B2">
        <w:t>, at least not when another BWP than the initial BWP is active.</w:t>
      </w:r>
    </w:p>
    <w:p w14:paraId="14552B05" w14:textId="09C6D490" w:rsidR="00C1299F" w:rsidRDefault="001D676D" w:rsidP="00162CB8">
      <w:pPr>
        <w:pStyle w:val="BodyText"/>
        <w:numPr>
          <w:ilvl w:val="1"/>
          <w:numId w:val="8"/>
        </w:numPr>
      </w:pPr>
      <w:r>
        <w:lastRenderedPageBreak/>
        <w:t>Limits the usefulness of 0-0/1-0 as a general way of scheduling smaller PUSCH/PDSCH payloads when the more advanced NR features are not needed; forces the NW to use the higher overhead 0-1 and 1-1 even when not motivated by PUSCH/PDSCH transmission efficiency.</w:t>
      </w:r>
    </w:p>
    <w:p w14:paraId="681CCA8A" w14:textId="628AFBB5" w:rsidR="00231DAB" w:rsidRDefault="008B0D82" w:rsidP="00162CB8">
      <w:pPr>
        <w:pStyle w:val="BodyText"/>
        <w:numPr>
          <w:ilvl w:val="0"/>
          <w:numId w:val="8"/>
        </w:numPr>
      </w:pPr>
      <w:r>
        <w:t>Mandate s</w:t>
      </w:r>
      <w:r w:rsidR="00231DAB">
        <w:t>ize-align</w:t>
      </w:r>
      <w:r>
        <w:t>ment of</w:t>
      </w:r>
      <w:r w:rsidR="00231DAB">
        <w:t xml:space="preserve"> DCI formats 0-1 and 1-1</w:t>
      </w:r>
    </w:p>
    <w:p w14:paraId="5C10C443" w14:textId="4CC353AF" w:rsidR="00231DAB" w:rsidRDefault="00231DAB" w:rsidP="00162CB8">
      <w:pPr>
        <w:pStyle w:val="BodyText"/>
        <w:numPr>
          <w:ilvl w:val="1"/>
          <w:numId w:val="8"/>
        </w:numPr>
      </w:pPr>
      <w:r>
        <w:t>Requires padding of the smallest of the two formats possible (except for occasional configurations where the “native” size of the two may be aligned).</w:t>
      </w:r>
    </w:p>
    <w:p w14:paraId="7C6E5143" w14:textId="30BD0A75" w:rsidR="00231DAB" w:rsidRDefault="00231DAB" w:rsidP="00162CB8">
      <w:pPr>
        <w:pStyle w:val="BodyText"/>
        <w:numPr>
          <w:ilvl w:val="1"/>
          <w:numId w:val="8"/>
        </w:numPr>
      </w:pPr>
      <w:r>
        <w:t>Not in line with the agreement “</w:t>
      </w:r>
      <w:r w:rsidR="00C1299F">
        <w:t>p</w:t>
      </w:r>
      <w:r w:rsidRPr="00231DAB">
        <w:t>ayload size for formats 0-1 and 1-1 may differ</w:t>
      </w:r>
      <w:r>
        <w:t>”</w:t>
      </w:r>
    </w:p>
    <w:p w14:paraId="3393053F" w14:textId="428E5216" w:rsidR="00231DAB" w:rsidRDefault="00C1299F" w:rsidP="00162CB8">
      <w:pPr>
        <w:pStyle w:val="BodyText"/>
        <w:numPr>
          <w:ilvl w:val="0"/>
          <w:numId w:val="8"/>
        </w:numPr>
      </w:pPr>
      <w:r>
        <w:t>C</w:t>
      </w:r>
      <w:r w:rsidR="00231DAB">
        <w:t xml:space="preserve">onfigure </w:t>
      </w:r>
      <w:r>
        <w:t xml:space="preserve">the </w:t>
      </w:r>
      <w:r w:rsidR="00231DAB">
        <w:t>active BWP such that the DCI size is the same as of the initial BWP</w:t>
      </w:r>
      <w:r>
        <w:t>.</w:t>
      </w:r>
    </w:p>
    <w:p w14:paraId="26D40798" w14:textId="4A7FFD5F" w:rsidR="00C1299F" w:rsidRDefault="00C1299F" w:rsidP="00162CB8">
      <w:pPr>
        <w:pStyle w:val="BodyText"/>
        <w:numPr>
          <w:ilvl w:val="1"/>
          <w:numId w:val="8"/>
        </w:numPr>
      </w:pPr>
      <w:r>
        <w:t>Limits NR to use a BWP of at most 96 RB (the largest possible initial BWP).</w:t>
      </w:r>
    </w:p>
    <w:p w14:paraId="68EFF5E6" w14:textId="4B3E0F0B" w:rsidR="00C1299F" w:rsidRDefault="00C1299F" w:rsidP="00162CB8">
      <w:pPr>
        <w:pStyle w:val="BodyText"/>
        <w:numPr>
          <w:ilvl w:val="1"/>
          <w:numId w:val="8"/>
        </w:numPr>
      </w:pPr>
      <w:r>
        <w:t>Not acceptable as a general solution.</w:t>
      </w:r>
    </w:p>
    <w:p w14:paraId="2A3D180E" w14:textId="0446E259" w:rsidR="00231DAB" w:rsidRDefault="00C1299F" w:rsidP="00162CB8">
      <w:pPr>
        <w:pStyle w:val="BodyText"/>
        <w:numPr>
          <w:ilvl w:val="0"/>
          <w:numId w:val="8"/>
        </w:numPr>
      </w:pPr>
      <w:r>
        <w:t>D</w:t>
      </w:r>
      <w:r w:rsidR="00231DAB">
        <w:t xml:space="preserve">o not configure </w:t>
      </w:r>
      <w:r>
        <w:t xml:space="preserve">DCI formats </w:t>
      </w:r>
      <w:r w:rsidR="00231DAB">
        <w:t>0-1 and</w:t>
      </w:r>
      <w:r>
        <w:t>/or</w:t>
      </w:r>
      <w:r w:rsidR="00231DAB">
        <w:t xml:space="preserve"> 1-</w:t>
      </w:r>
      <w:r>
        <w:t>1</w:t>
      </w:r>
    </w:p>
    <w:p w14:paraId="2E662947" w14:textId="75A30362" w:rsidR="00C1299F" w:rsidRDefault="00C1299F" w:rsidP="00162CB8">
      <w:pPr>
        <w:pStyle w:val="BodyText"/>
        <w:numPr>
          <w:ilvl w:val="1"/>
          <w:numId w:val="8"/>
        </w:numPr>
      </w:pPr>
      <w:r>
        <w:t>Limits the usage of many NR features.</w:t>
      </w:r>
    </w:p>
    <w:p w14:paraId="09C5BFEA" w14:textId="03F9E2BC" w:rsidR="00C1299F" w:rsidRDefault="00C1299F" w:rsidP="00162CB8">
      <w:pPr>
        <w:pStyle w:val="BodyText"/>
        <w:numPr>
          <w:ilvl w:val="1"/>
          <w:numId w:val="8"/>
        </w:numPr>
      </w:pPr>
      <w:r>
        <w:t>Not acceptable as a general solution.</w:t>
      </w:r>
    </w:p>
    <w:p w14:paraId="247BE71E" w14:textId="58B3C9FA" w:rsidR="00800BC1" w:rsidRDefault="00800BC1" w:rsidP="00800BC1">
      <w:pPr>
        <w:pStyle w:val="BodyText"/>
      </w:pPr>
    </w:p>
    <w:bookmarkEnd w:id="5"/>
    <w:p w14:paraId="0458688C" w14:textId="401175DA" w:rsidR="00800BC1" w:rsidRPr="00800BC1" w:rsidRDefault="00800BC1" w:rsidP="00800BC1">
      <w:pPr>
        <w:pStyle w:val="BodyText"/>
        <w:rPr>
          <w:b/>
        </w:rPr>
      </w:pPr>
      <w:r w:rsidRPr="00800BC1">
        <w:rPr>
          <w:b/>
        </w:rPr>
        <w:t>Proposal:</w:t>
      </w:r>
    </w:p>
    <w:p w14:paraId="48BBE553" w14:textId="77777777" w:rsidR="00571270" w:rsidRDefault="00571270" w:rsidP="00800BC1">
      <w:pPr>
        <w:pStyle w:val="BodyText"/>
      </w:pPr>
      <w:r>
        <w:t>P</w:t>
      </w:r>
      <w:r w:rsidR="00800BC1">
        <w:t>referred solution</w:t>
      </w:r>
      <w:r>
        <w:t>:</w:t>
      </w:r>
    </w:p>
    <w:p w14:paraId="78E2FB77" w14:textId="34AACB28" w:rsidR="00800BC1" w:rsidRDefault="00800BC1" w:rsidP="00162CB8">
      <w:pPr>
        <w:pStyle w:val="BodyText"/>
        <w:numPr>
          <w:ilvl w:val="0"/>
          <w:numId w:val="10"/>
        </w:numPr>
      </w:pPr>
      <w:r>
        <w:t>increase the DCI size budget to 4 sizes with C-RNTI</w:t>
      </w:r>
    </w:p>
    <w:p w14:paraId="5030288E" w14:textId="75AFF21B" w:rsidR="00571270" w:rsidRDefault="00800BC1" w:rsidP="00800BC1">
      <w:pPr>
        <w:pStyle w:val="BodyText"/>
      </w:pPr>
      <w:r>
        <w:t>If this is not agreeable, the second choice is to</w:t>
      </w:r>
      <w:r w:rsidR="002B67B6">
        <w:t>:</w:t>
      </w:r>
    </w:p>
    <w:p w14:paraId="5C13E511" w14:textId="45BA612F" w:rsidR="006328F2" w:rsidRDefault="006328F2" w:rsidP="00162CB8">
      <w:pPr>
        <w:pStyle w:val="BodyText"/>
        <w:numPr>
          <w:ilvl w:val="0"/>
          <w:numId w:val="9"/>
        </w:numPr>
      </w:pPr>
      <w:r>
        <w:t>allow sizes A1/A32in the table above as long as the “3+1” budget is fulfilled, otherwise use size A0 for 0-0/1-0 by confirming the WA with the FFS removed:</w:t>
      </w:r>
    </w:p>
    <w:p w14:paraId="5DCC0263" w14:textId="77777777" w:rsidR="006328F2" w:rsidRPr="008F7D38" w:rsidRDefault="006328F2" w:rsidP="00162CB8">
      <w:pPr>
        <w:pStyle w:val="BodyText"/>
        <w:numPr>
          <w:ilvl w:val="1"/>
          <w:numId w:val="9"/>
        </w:numPr>
        <w:rPr>
          <w:color w:val="FF0000"/>
        </w:rPr>
      </w:pPr>
      <w:r w:rsidRPr="008F7D38">
        <w:rPr>
          <w:color w:val="FF0000"/>
        </w:rPr>
        <w:t>For format 0-0/1-0 in USS, the size is given by the active BWP as long as the DCI size budget is fulfilled</w:t>
      </w:r>
    </w:p>
    <w:p w14:paraId="7AE80C6E" w14:textId="76848094" w:rsidR="006328F2" w:rsidRPr="008F7D38" w:rsidRDefault="006328F2" w:rsidP="00162CB8">
      <w:pPr>
        <w:pStyle w:val="BodyText"/>
        <w:numPr>
          <w:ilvl w:val="2"/>
          <w:numId w:val="9"/>
        </w:numPr>
        <w:rPr>
          <w:color w:val="FF0000"/>
        </w:rPr>
      </w:pPr>
      <w:r w:rsidRPr="008F7D38">
        <w:rPr>
          <w:color w:val="FF0000"/>
        </w:rPr>
        <w:t>Otherwise, for format 0-0/1-0, the size is given by the initial DL BWP</w:t>
      </w:r>
    </w:p>
    <w:p w14:paraId="22A24C61" w14:textId="5445AE31" w:rsidR="00800BC1" w:rsidRDefault="00800BC1" w:rsidP="006328F2">
      <w:pPr>
        <w:pStyle w:val="BodyText"/>
      </w:pPr>
    </w:p>
    <w:p w14:paraId="78CFD88E" w14:textId="0CF74C26" w:rsidR="00800BC1" w:rsidRDefault="006328F2" w:rsidP="006328F2">
      <w:pPr>
        <w:pStyle w:val="Heading1"/>
      </w:pPr>
      <w:bookmarkStart w:id="6" w:name="_Hlk509500848"/>
      <w:r>
        <w:t>Applying DCI 0-0/1-0 to another BWP than the size-defining one</w:t>
      </w:r>
    </w:p>
    <w:p w14:paraId="7984D4B0" w14:textId="5B9F9A32" w:rsidR="00636812" w:rsidRDefault="006328F2" w:rsidP="006328F2">
      <w:pPr>
        <w:pStyle w:val="BodyText"/>
      </w:pPr>
      <w:r>
        <w:t>Regardless of which of the proposals in the previous section that is adopted, a mechanism to convert a DCI format from one BWP size to another BWP size is required. At least for the CSS, and possibly for the USS, the size of 0-0/1-0 is defined by the initial BWP even if another (differently sized) BWP is active in the UE and to which the DCI should be applied.</w:t>
      </w:r>
      <w:r w:rsidR="00636812">
        <w:t xml:space="preserve"> For DCI formats 0-0/1-0, only the frequency-domain resource allocation field differ between BWPs and resource-allocation type 1 is used (start/length encoded as a RIV).</w:t>
      </w:r>
    </w:p>
    <w:p w14:paraId="7068C344" w14:textId="77777777" w:rsidR="00040611" w:rsidRPr="006328F2" w:rsidRDefault="00040611" w:rsidP="006328F2">
      <w:pPr>
        <w:pStyle w:val="BodyText"/>
      </w:pPr>
    </w:p>
    <w:p w14:paraId="6B83DABC" w14:textId="49C1E798" w:rsidR="00D87573" w:rsidRDefault="00D87573" w:rsidP="00D87573">
      <w:pPr>
        <w:pStyle w:val="BodyText"/>
      </w:pPr>
      <w:r>
        <w:t>Possible solutions include:</w:t>
      </w:r>
    </w:p>
    <w:p w14:paraId="6CFA1AF5" w14:textId="60CCE6EB" w:rsidR="00636812" w:rsidRDefault="00636812" w:rsidP="00A00D6C">
      <w:pPr>
        <w:pStyle w:val="BodyText"/>
        <w:numPr>
          <w:ilvl w:val="0"/>
          <w:numId w:val="12"/>
        </w:numPr>
      </w:pPr>
      <w:r>
        <w:t xml:space="preserve">The resource allocation (RIV) is interpreted according to the (size-defining) </w:t>
      </w:r>
      <w:r w:rsidRPr="00A00D6C">
        <w:t>initial</w:t>
      </w:r>
      <w:r>
        <w:t xml:space="preserve"> BWP, resulting in start and length. The start/length is applied to the </w:t>
      </w:r>
      <w:r w:rsidRPr="00A00D6C">
        <w:t>active</w:t>
      </w:r>
      <w:r>
        <w:t xml:space="preserve"> BWP where the data transmission occurs.</w:t>
      </w:r>
      <w:r>
        <w:tab/>
      </w:r>
    </w:p>
    <w:p w14:paraId="64E22DAF" w14:textId="2601E444" w:rsidR="00A00D6C" w:rsidRDefault="005D255E" w:rsidP="002468E2">
      <w:pPr>
        <w:pStyle w:val="BodyText"/>
        <w:numPr>
          <w:ilvl w:val="1"/>
          <w:numId w:val="8"/>
        </w:numPr>
      </w:pPr>
      <w:bookmarkStart w:id="7" w:name="_Hlk510094967"/>
      <w:r>
        <w:t>Allows for the same lengths as in the size-defining BWP but restricts the possible starting positions in the wider BWP.</w:t>
      </w:r>
    </w:p>
    <w:bookmarkEnd w:id="7"/>
    <w:p w14:paraId="66E26F6D" w14:textId="181C4DFF" w:rsidR="00AE50DC" w:rsidRDefault="00AE50DC" w:rsidP="00A00D6C">
      <w:pPr>
        <w:pStyle w:val="BodyText"/>
        <w:numPr>
          <w:ilvl w:val="0"/>
          <w:numId w:val="12"/>
        </w:numPr>
      </w:pPr>
      <w:r>
        <w:t xml:space="preserve">The RIV field is truncated/padded to match the need of the active BWP. The truncated/padded fields is interpreted </w:t>
      </w:r>
      <w:r w:rsidR="002468E2">
        <w:t xml:space="preserve">in </w:t>
      </w:r>
      <w:r>
        <w:t>and applied to the active BWP.</w:t>
      </w:r>
    </w:p>
    <w:p w14:paraId="0D446AFD" w14:textId="2FEAD622" w:rsidR="001308B2" w:rsidRDefault="008F7D38" w:rsidP="002468E2">
      <w:pPr>
        <w:pStyle w:val="BodyText"/>
        <w:numPr>
          <w:ilvl w:val="1"/>
          <w:numId w:val="8"/>
        </w:numPr>
      </w:pPr>
      <w:bookmarkStart w:id="8" w:name="_Hlk510094956"/>
      <w:r>
        <w:t>Can result in severe limitations in the lengths possible to schedule</w:t>
      </w:r>
      <w:r w:rsidR="005D255E">
        <w:t xml:space="preserve"> but provides full flexibility in the starting position in the wider BWP</w:t>
      </w:r>
      <w:bookmarkEnd w:id="8"/>
      <w:r w:rsidR="005D255E">
        <w:t>.</w:t>
      </w:r>
    </w:p>
    <w:p w14:paraId="2EE8FD18" w14:textId="7FF573EA" w:rsidR="002468E2" w:rsidRDefault="002468E2" w:rsidP="002468E2">
      <w:pPr>
        <w:pStyle w:val="BodyText"/>
        <w:numPr>
          <w:ilvl w:val="0"/>
          <w:numId w:val="12"/>
        </w:numPr>
      </w:pPr>
      <w:r>
        <w:t xml:space="preserve">The resource allocation (RIV) is interpreted according to the (size-defining) </w:t>
      </w:r>
      <w:r w:rsidRPr="00A00D6C">
        <w:t>initial</w:t>
      </w:r>
      <w:r>
        <w:t xml:space="preserve"> BWP, resulting in start and length. The start/length is applied to the </w:t>
      </w:r>
      <w:r w:rsidRPr="00A00D6C">
        <w:t>active</w:t>
      </w:r>
      <w:r>
        <w:t xml:space="preserve"> BWP where the data transmission occurs but one or both of start/length is interpreted in terms of groups of resource blocks</w:t>
      </w:r>
      <w:r w:rsidR="00ED01EB">
        <w:t xml:space="preserve"> (i.e. the start and length values are multiplied by a factor K prior to being applied to the active BWP)</w:t>
      </w:r>
    </w:p>
    <w:p w14:paraId="4EB2BB3E" w14:textId="53E5D8F2" w:rsidR="00765682" w:rsidRDefault="00ED01EB" w:rsidP="00765682">
      <w:pPr>
        <w:pStyle w:val="BodyText"/>
        <w:numPr>
          <w:ilvl w:val="1"/>
          <w:numId w:val="12"/>
        </w:numPr>
      </w:pPr>
      <w:r>
        <w:t>Allows for a wider range in start and length.</w:t>
      </w:r>
      <w:r w:rsidR="00E66D2B">
        <w:t xml:space="preserve"> Similar to DCI format 1C in LTE.</w:t>
      </w:r>
    </w:p>
    <w:p w14:paraId="16EF061B" w14:textId="01D025CF" w:rsidR="008F7D38" w:rsidRDefault="008F7D38" w:rsidP="008F7D38">
      <w:pPr>
        <w:pStyle w:val="BodyText"/>
      </w:pPr>
    </w:p>
    <w:p w14:paraId="7FFD98AE" w14:textId="6C1D2297" w:rsidR="008F7D38" w:rsidRDefault="007B439F" w:rsidP="008F7D38">
      <w:pPr>
        <w:pStyle w:val="BodyText"/>
        <w:keepNext/>
      </w:pPr>
      <w:r w:rsidRPr="007B439F">
        <w:rPr>
          <w:noProof/>
        </w:rPr>
        <w:drawing>
          <wp:inline distT="0" distB="0" distL="0" distR="0" wp14:anchorId="0E07198C" wp14:editId="187A6DBB">
            <wp:extent cx="5760720" cy="14358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435838"/>
                    </a:xfrm>
                    <a:prstGeom prst="rect">
                      <a:avLst/>
                    </a:prstGeom>
                    <a:noFill/>
                    <a:ln>
                      <a:noFill/>
                    </a:ln>
                  </pic:spPr>
                </pic:pic>
              </a:graphicData>
            </a:graphic>
          </wp:inline>
        </w:drawing>
      </w:r>
    </w:p>
    <w:p w14:paraId="63D9AA90" w14:textId="6857D739" w:rsidR="008F7D38" w:rsidRDefault="008F7D38" w:rsidP="008F7D38">
      <w:pPr>
        <w:pStyle w:val="Caption"/>
        <w:jc w:val="both"/>
      </w:pPr>
      <w:r>
        <w:t xml:space="preserve">Figure </w:t>
      </w:r>
      <w:fldSimple w:instr=" STYLEREF 1 \s ">
        <w:r>
          <w:rPr>
            <w:noProof/>
          </w:rPr>
          <w:t>3</w:t>
        </w:r>
      </w:fldSimple>
      <w:r>
        <w:t>.</w:t>
      </w:r>
      <w:fldSimple w:instr=" SEQ Figure \* ARABIC \s 1 ">
        <w:r>
          <w:rPr>
            <w:noProof/>
          </w:rPr>
          <w:t>1</w:t>
        </w:r>
      </w:fldSimple>
      <w:r>
        <w:t xml:space="preserve">: </w:t>
      </w:r>
      <w:r w:rsidR="007B439F">
        <w:t>Example i</w:t>
      </w:r>
      <w:r>
        <w:t>llustration</w:t>
      </w:r>
      <w:r w:rsidR="007B439F">
        <w:t>s</w:t>
      </w:r>
      <w:r>
        <w:t xml:space="preserve"> of different "RIV conversion" </w:t>
      </w:r>
      <w:r w:rsidR="00727160">
        <w:t>principles</w:t>
      </w:r>
      <w:r>
        <w:t>.</w:t>
      </w:r>
    </w:p>
    <w:p w14:paraId="3BC5DDF6" w14:textId="30E0ED53" w:rsidR="001308B2" w:rsidRDefault="001308B2" w:rsidP="001308B2">
      <w:pPr>
        <w:pStyle w:val="BodyText"/>
      </w:pPr>
    </w:p>
    <w:bookmarkEnd w:id="6"/>
    <w:p w14:paraId="3FFD6384" w14:textId="7866E84E" w:rsidR="001308B2" w:rsidRPr="005835AD" w:rsidRDefault="001308B2" w:rsidP="001308B2">
      <w:pPr>
        <w:pStyle w:val="BodyText"/>
        <w:rPr>
          <w:b/>
        </w:rPr>
      </w:pPr>
      <w:r w:rsidRPr="005835AD">
        <w:rPr>
          <w:b/>
        </w:rPr>
        <w:t>Proposal:</w:t>
      </w:r>
    </w:p>
    <w:p w14:paraId="7DE62770" w14:textId="2443729D" w:rsidR="005835AD" w:rsidRDefault="005835AD" w:rsidP="00162CB8">
      <w:pPr>
        <w:pStyle w:val="BodyText"/>
        <w:numPr>
          <w:ilvl w:val="0"/>
          <w:numId w:val="11"/>
        </w:numPr>
      </w:pPr>
      <w:r>
        <w:t>For DCI formats 0-0/1-0 with the size defined by the initial BWP but applied to another active BWP:</w:t>
      </w:r>
    </w:p>
    <w:p w14:paraId="07C3600A" w14:textId="77777777" w:rsidR="00543327" w:rsidRDefault="00543327" w:rsidP="00543327">
      <w:pPr>
        <w:pStyle w:val="BodyText"/>
        <w:numPr>
          <w:ilvl w:val="1"/>
          <w:numId w:val="11"/>
        </w:numPr>
      </w:pPr>
      <w:r>
        <w:t xml:space="preserve">The resource allocation (RIV) is interpreted according to the (size-defining) </w:t>
      </w:r>
      <w:r w:rsidRPr="00A00D6C">
        <w:t>initial</w:t>
      </w:r>
      <w:r>
        <w:t xml:space="preserve"> BWP, resulting in start and length. The start/length is applied to the </w:t>
      </w:r>
      <w:r w:rsidRPr="00A00D6C">
        <w:t>active</w:t>
      </w:r>
      <w:r>
        <w:t xml:space="preserve"> BWP where the data transmission occurs but one or both of start/length is interpreted in terms of groups of resource blocks (i.e. the start and length values are multiplied by a factor K prior to being applied to the active BWP)</w:t>
      </w:r>
    </w:p>
    <w:p w14:paraId="0410FAFD" w14:textId="5BC704FA" w:rsidR="006328F2" w:rsidRDefault="005D255E" w:rsidP="005D255E">
      <w:pPr>
        <w:pStyle w:val="Heading1"/>
      </w:pPr>
      <w:r>
        <w:t>Handling of 2-x sizes</w:t>
      </w:r>
    </w:p>
    <w:p w14:paraId="7D16C1A9" w14:textId="660DA861" w:rsidR="00727160" w:rsidRDefault="00727160" w:rsidP="00727160">
      <w:pPr>
        <w:pStyle w:val="BodyText"/>
      </w:pPr>
      <w:r>
        <w:t xml:space="preserve">As seen from </w:t>
      </w:r>
      <w:r>
        <w:fldChar w:fldCharType="begin"/>
      </w:r>
      <w:r>
        <w:instrText xml:space="preserve"> REF _Ref509314781 \h </w:instrText>
      </w:r>
      <w:r>
        <w:fldChar w:fldCharType="separate"/>
      </w:r>
      <w:r>
        <w:t xml:space="preserve">Table </w:t>
      </w:r>
      <w:r>
        <w:rPr>
          <w:noProof/>
        </w:rPr>
        <w:t>2</w:t>
      </w:r>
      <w:r>
        <w:t>.</w:t>
      </w:r>
      <w:r>
        <w:rPr>
          <w:noProof/>
        </w:rPr>
        <w:t>1</w:t>
      </w:r>
      <w:r>
        <w:fldChar w:fldCharType="end"/>
      </w:r>
      <w:r>
        <w:t xml:space="preserve"> the current agreements result in up to 3 DCI sizes for the 2-x family:</w:t>
      </w:r>
    </w:p>
    <w:p w14:paraId="350186A7" w14:textId="14585E59" w:rsidR="00727160" w:rsidRDefault="00727160" w:rsidP="00727160">
      <w:pPr>
        <w:pStyle w:val="BodyText"/>
        <w:numPr>
          <w:ilvl w:val="0"/>
          <w:numId w:val="11"/>
        </w:numPr>
      </w:pPr>
      <w:r>
        <w:t>Size D for DCI format 2-0</w:t>
      </w:r>
    </w:p>
    <w:p w14:paraId="2A56BBF3" w14:textId="5F1D46D1" w:rsidR="00727160" w:rsidRDefault="00727160" w:rsidP="00727160">
      <w:pPr>
        <w:pStyle w:val="BodyText"/>
        <w:numPr>
          <w:ilvl w:val="0"/>
          <w:numId w:val="11"/>
        </w:numPr>
      </w:pPr>
      <w:r>
        <w:t>Size E for DCI format 2-1</w:t>
      </w:r>
    </w:p>
    <w:p w14:paraId="01329C3E" w14:textId="35CADA51" w:rsidR="00727160" w:rsidRPr="00727160" w:rsidRDefault="00727160" w:rsidP="00727160">
      <w:pPr>
        <w:pStyle w:val="BodyText"/>
        <w:numPr>
          <w:ilvl w:val="0"/>
          <w:numId w:val="11"/>
        </w:numPr>
      </w:pPr>
      <w:r>
        <w:t>Size F for DCI format 2-2 and 2-3</w:t>
      </w:r>
    </w:p>
    <w:p w14:paraId="3199C557" w14:textId="23EB6A9E" w:rsidR="00727160" w:rsidRDefault="00727160" w:rsidP="005D255E">
      <w:pPr>
        <w:pStyle w:val="BodyText"/>
      </w:pPr>
      <w:r>
        <w:t xml:space="preserve">Given that in many typical configurations at least 3 DCI sizes with C-RNTI have been used the freedom in distributing DCI sizes for the 2-x family is limited (assuming the “3+1 budget”). Furthermore, depending on the configuration and future UE capability discussions, not all UEs may be configured with or capable of all the 2-x </w:t>
      </w:r>
      <w:r w:rsidR="00E7744C">
        <w:t>sizes</w:t>
      </w:r>
      <w:r>
        <w:t>.</w:t>
      </w:r>
    </w:p>
    <w:p w14:paraId="3DBA72B7" w14:textId="7D28EA3C" w:rsidR="00727160" w:rsidRDefault="00727160" w:rsidP="005D255E">
      <w:pPr>
        <w:pStyle w:val="BodyText"/>
      </w:pPr>
      <w:r>
        <w:t>Possible solutions include:</w:t>
      </w:r>
    </w:p>
    <w:p w14:paraId="25AEFCC7" w14:textId="4B3258C6" w:rsidR="00727160" w:rsidRDefault="00727160" w:rsidP="00727160">
      <w:pPr>
        <w:pStyle w:val="BodyText"/>
        <w:numPr>
          <w:ilvl w:val="0"/>
          <w:numId w:val="14"/>
        </w:numPr>
      </w:pPr>
      <w:r>
        <w:t>Sizes D, E, and F are all aligned and uses the remaining “non-C-RNTI size”</w:t>
      </w:r>
    </w:p>
    <w:p w14:paraId="65846FE8" w14:textId="76B6214E" w:rsidR="00727160" w:rsidRDefault="00727160" w:rsidP="00727160">
      <w:pPr>
        <w:pStyle w:val="BodyText"/>
        <w:numPr>
          <w:ilvl w:val="0"/>
          <w:numId w:val="13"/>
        </w:numPr>
      </w:pPr>
      <w:r>
        <w:t>This is a less attractive option as the needed payload size may differ significantly between the DCI formats.</w:t>
      </w:r>
    </w:p>
    <w:p w14:paraId="74EC2AD4" w14:textId="713FA718" w:rsidR="00727160" w:rsidRDefault="004207C8" w:rsidP="004207C8">
      <w:pPr>
        <w:pStyle w:val="BodyText"/>
        <w:numPr>
          <w:ilvl w:val="0"/>
          <w:numId w:val="14"/>
        </w:numPr>
      </w:pPr>
      <w:r>
        <w:t>DCI formats 2-2/2-3 are aligned with the size of DCI formats 0-0/1-0 in CORESET 0 (i.e. size D = size A0). DCI formats 2-0 and 2-1 share the remaining “non-C-RNTI size”</w:t>
      </w:r>
    </w:p>
    <w:p w14:paraId="31FA3DEE" w14:textId="585A6181" w:rsidR="004207C8" w:rsidRDefault="004207C8" w:rsidP="004207C8">
      <w:pPr>
        <w:pStyle w:val="BodyText"/>
        <w:numPr>
          <w:ilvl w:val="0"/>
          <w:numId w:val="13"/>
        </w:numPr>
      </w:pPr>
      <w:r>
        <w:t>Results in a well-defined</w:t>
      </w:r>
      <w:r w:rsidR="00DB3DA1">
        <w:t>, cell-wide</w:t>
      </w:r>
      <w:r>
        <w:t xml:space="preserve"> payload size for power control purposes. This </w:t>
      </w:r>
      <w:r w:rsidR="00DB3DA1">
        <w:t>approach</w:t>
      </w:r>
      <w:r>
        <w:t xml:space="preserve"> is similar to LTE where format 3/3A are size-aligned with format 0/1A.</w:t>
      </w:r>
    </w:p>
    <w:p w14:paraId="0BF86337" w14:textId="46552A4C" w:rsidR="004207C8" w:rsidRDefault="00DB3DA1" w:rsidP="004207C8">
      <w:pPr>
        <w:pStyle w:val="BodyText"/>
        <w:numPr>
          <w:ilvl w:val="0"/>
          <w:numId w:val="14"/>
        </w:numPr>
      </w:pPr>
      <w:r>
        <w:t>Increase the DCI size budget for UEs supporting one or more of the 2-x formats.</w:t>
      </w:r>
    </w:p>
    <w:p w14:paraId="4C448657" w14:textId="7AB67DEA" w:rsidR="00DB3DA1" w:rsidRDefault="000E395F" w:rsidP="00DB3DA1">
      <w:pPr>
        <w:pStyle w:val="BodyText"/>
        <w:numPr>
          <w:ilvl w:val="0"/>
          <w:numId w:val="13"/>
        </w:numPr>
      </w:pPr>
      <w:r>
        <w:t>This could be combined with the previous approach, especially if 2-2/2-3 are supported by all UES and one or both of 2-0 and 2-1 are UE capabilities.</w:t>
      </w:r>
    </w:p>
    <w:p w14:paraId="46097D95" w14:textId="75239577" w:rsidR="000E395F" w:rsidRDefault="000E395F" w:rsidP="000E395F">
      <w:pPr>
        <w:pStyle w:val="BodyText"/>
      </w:pPr>
    </w:p>
    <w:p w14:paraId="7129FC59" w14:textId="0AA97587" w:rsidR="000E395F" w:rsidRPr="000E395F" w:rsidRDefault="000E395F" w:rsidP="000E395F">
      <w:pPr>
        <w:pStyle w:val="BodyText"/>
        <w:rPr>
          <w:b/>
        </w:rPr>
      </w:pPr>
      <w:r w:rsidRPr="000E395F">
        <w:rPr>
          <w:b/>
        </w:rPr>
        <w:t>Proposal:</w:t>
      </w:r>
    </w:p>
    <w:p w14:paraId="220E730B" w14:textId="1DB58C7C" w:rsidR="000E395F" w:rsidRDefault="000E395F" w:rsidP="000E395F">
      <w:pPr>
        <w:pStyle w:val="BodyText"/>
        <w:numPr>
          <w:ilvl w:val="0"/>
          <w:numId w:val="11"/>
        </w:numPr>
      </w:pPr>
      <w:r>
        <w:t>The size of DCI format 2-2/2-3 is the same as DCI format 0-0/1-0 in CORESET 0.</w:t>
      </w:r>
    </w:p>
    <w:p w14:paraId="208EF5BD" w14:textId="74413A99" w:rsidR="00727160" w:rsidRDefault="00727160" w:rsidP="005D255E">
      <w:pPr>
        <w:pStyle w:val="BodyText"/>
      </w:pPr>
    </w:p>
    <w:p w14:paraId="0571F6A6" w14:textId="337CFF49" w:rsidR="000E395F" w:rsidRDefault="000E395F" w:rsidP="000E395F">
      <w:pPr>
        <w:pStyle w:val="Heading1"/>
      </w:pPr>
      <w:r>
        <w:t>Conclusion</w:t>
      </w:r>
    </w:p>
    <w:p w14:paraId="6F0E6C04" w14:textId="77777777" w:rsidR="000E395F" w:rsidRPr="00800BC1" w:rsidRDefault="000E395F" w:rsidP="000E395F">
      <w:pPr>
        <w:pStyle w:val="BodyText"/>
        <w:rPr>
          <w:b/>
        </w:rPr>
      </w:pPr>
      <w:r w:rsidRPr="00800BC1">
        <w:rPr>
          <w:b/>
        </w:rPr>
        <w:t>Proposal:</w:t>
      </w:r>
    </w:p>
    <w:p w14:paraId="1752D057" w14:textId="77777777" w:rsidR="000E395F" w:rsidRDefault="000E395F" w:rsidP="000E395F">
      <w:pPr>
        <w:pStyle w:val="BodyText"/>
      </w:pPr>
      <w:r>
        <w:lastRenderedPageBreak/>
        <w:t>Preferred solution:</w:t>
      </w:r>
    </w:p>
    <w:p w14:paraId="5F0F48E2" w14:textId="77777777" w:rsidR="000E395F" w:rsidRDefault="000E395F" w:rsidP="000E395F">
      <w:pPr>
        <w:pStyle w:val="BodyText"/>
        <w:numPr>
          <w:ilvl w:val="0"/>
          <w:numId w:val="10"/>
        </w:numPr>
      </w:pPr>
      <w:r>
        <w:t>increase the DCI size budget to 4 sizes with C-RNTI</w:t>
      </w:r>
    </w:p>
    <w:p w14:paraId="686BF78A" w14:textId="77777777" w:rsidR="000E395F" w:rsidRDefault="000E395F" w:rsidP="000E395F">
      <w:pPr>
        <w:pStyle w:val="BodyText"/>
      </w:pPr>
      <w:r>
        <w:t>If this is not agreeable, the second choice is to:</w:t>
      </w:r>
    </w:p>
    <w:p w14:paraId="1104697D" w14:textId="77777777" w:rsidR="000E395F" w:rsidRDefault="000E395F" w:rsidP="000E395F">
      <w:pPr>
        <w:pStyle w:val="BodyText"/>
        <w:numPr>
          <w:ilvl w:val="0"/>
          <w:numId w:val="9"/>
        </w:numPr>
      </w:pPr>
      <w:r>
        <w:t>allow sizes A1/A32in the table above as long as the “3+1” budget is fulfilled, otherwise use size A0 for 0-0/1-0 by confirming the WA with the FFS removed:</w:t>
      </w:r>
    </w:p>
    <w:p w14:paraId="714F99A7" w14:textId="77777777" w:rsidR="000E395F" w:rsidRPr="008F7D38" w:rsidRDefault="000E395F" w:rsidP="000E395F">
      <w:pPr>
        <w:pStyle w:val="BodyText"/>
        <w:numPr>
          <w:ilvl w:val="1"/>
          <w:numId w:val="9"/>
        </w:numPr>
        <w:rPr>
          <w:color w:val="FF0000"/>
        </w:rPr>
      </w:pPr>
      <w:r w:rsidRPr="008F7D38">
        <w:rPr>
          <w:color w:val="FF0000"/>
        </w:rPr>
        <w:t>For format 0-0/1-0 in USS, the size is given by the active BWP as long as the DCI size budget is fulfilled</w:t>
      </w:r>
    </w:p>
    <w:p w14:paraId="15C6932E" w14:textId="77777777" w:rsidR="000E395F" w:rsidRPr="008F7D38" w:rsidRDefault="000E395F" w:rsidP="000E395F">
      <w:pPr>
        <w:pStyle w:val="BodyText"/>
        <w:numPr>
          <w:ilvl w:val="2"/>
          <w:numId w:val="9"/>
        </w:numPr>
        <w:rPr>
          <w:color w:val="FF0000"/>
        </w:rPr>
      </w:pPr>
      <w:r w:rsidRPr="008F7D38">
        <w:rPr>
          <w:color w:val="FF0000"/>
        </w:rPr>
        <w:t>Otherwise, for format 0-0/1-0, the size is given by the initial DL BWP</w:t>
      </w:r>
    </w:p>
    <w:p w14:paraId="5D5A5F7F" w14:textId="7E091AC2" w:rsidR="000E395F" w:rsidRDefault="000E395F" w:rsidP="000E395F">
      <w:pPr>
        <w:pStyle w:val="BodyText"/>
      </w:pPr>
    </w:p>
    <w:p w14:paraId="5214BA8D" w14:textId="77777777" w:rsidR="000E395F" w:rsidRPr="005835AD" w:rsidRDefault="000E395F" w:rsidP="000E395F">
      <w:pPr>
        <w:pStyle w:val="BodyText"/>
        <w:rPr>
          <w:b/>
        </w:rPr>
      </w:pPr>
      <w:r w:rsidRPr="005835AD">
        <w:rPr>
          <w:b/>
        </w:rPr>
        <w:t>Proposal:</w:t>
      </w:r>
    </w:p>
    <w:p w14:paraId="00458BDE" w14:textId="77777777" w:rsidR="000E395F" w:rsidRDefault="000E395F" w:rsidP="000E395F">
      <w:pPr>
        <w:pStyle w:val="BodyText"/>
        <w:numPr>
          <w:ilvl w:val="0"/>
          <w:numId w:val="11"/>
        </w:numPr>
      </w:pPr>
      <w:r>
        <w:t>For DCI formats 0-0/1-0 with the size defined by the initial BWP but applied to another active BWP:</w:t>
      </w:r>
    </w:p>
    <w:p w14:paraId="6D4818BA" w14:textId="77777777" w:rsidR="00543327" w:rsidRDefault="00543327" w:rsidP="00543327">
      <w:pPr>
        <w:pStyle w:val="BodyText"/>
        <w:numPr>
          <w:ilvl w:val="1"/>
          <w:numId w:val="11"/>
        </w:numPr>
      </w:pPr>
      <w:r>
        <w:t xml:space="preserve">The resource allocation (RIV) is interpreted according to the (size-defining) </w:t>
      </w:r>
      <w:r w:rsidRPr="00A00D6C">
        <w:t>initial</w:t>
      </w:r>
      <w:r>
        <w:t xml:space="preserve"> BWP, resulting in start and length. The start/length is applied to the </w:t>
      </w:r>
      <w:r w:rsidRPr="00A00D6C">
        <w:t>active</w:t>
      </w:r>
      <w:r>
        <w:t xml:space="preserve"> BWP where the data transmission occurs but one or both of start/length is interpreted in terms of groups of resource blocks (i.e. the start and length values are multiplied by a factor K prior to being applied to the active BWP)</w:t>
      </w:r>
    </w:p>
    <w:p w14:paraId="02503B66" w14:textId="77777777" w:rsidR="000E395F" w:rsidRDefault="000E395F" w:rsidP="000E395F">
      <w:pPr>
        <w:pStyle w:val="BodyText"/>
        <w:rPr>
          <w:b/>
        </w:rPr>
      </w:pPr>
    </w:p>
    <w:p w14:paraId="5C8C0BD8" w14:textId="7653A790" w:rsidR="000E395F" w:rsidRPr="000E395F" w:rsidRDefault="000E395F" w:rsidP="000E395F">
      <w:pPr>
        <w:pStyle w:val="BodyText"/>
        <w:rPr>
          <w:b/>
        </w:rPr>
      </w:pPr>
      <w:r w:rsidRPr="000E395F">
        <w:rPr>
          <w:b/>
        </w:rPr>
        <w:t>Proposal:</w:t>
      </w:r>
    </w:p>
    <w:p w14:paraId="03AF476C" w14:textId="77777777" w:rsidR="000E395F" w:rsidRDefault="000E395F" w:rsidP="000E395F">
      <w:pPr>
        <w:pStyle w:val="BodyText"/>
        <w:numPr>
          <w:ilvl w:val="0"/>
          <w:numId w:val="11"/>
        </w:numPr>
      </w:pPr>
      <w:r>
        <w:t>The size of DCI format 2-2/2-3 is the same as DCI format 0-0/1-0 in CORESET 0.</w:t>
      </w:r>
    </w:p>
    <w:sectPr w:rsidR="000E395F"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64BE8" w14:textId="77777777" w:rsidR="00C6218C" w:rsidRDefault="00C6218C" w:rsidP="00896408">
      <w:r>
        <w:separator/>
      </w:r>
    </w:p>
  </w:endnote>
  <w:endnote w:type="continuationSeparator" w:id="0">
    <w:p w14:paraId="385665E3" w14:textId="77777777" w:rsidR="00C6218C" w:rsidRDefault="00C6218C"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23E04" w14:textId="77777777" w:rsidR="00C6218C" w:rsidRDefault="00C6218C" w:rsidP="00896408">
      <w:r>
        <w:separator/>
      </w:r>
    </w:p>
  </w:footnote>
  <w:footnote w:type="continuationSeparator" w:id="0">
    <w:p w14:paraId="4632F0AA" w14:textId="77777777" w:rsidR="00C6218C" w:rsidRDefault="00C6218C"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0530D9E"/>
    <w:multiLevelType w:val="hybridMultilevel"/>
    <w:tmpl w:val="FB9AD442"/>
    <w:lvl w:ilvl="0" w:tplc="DB4EECCC">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1833BF6"/>
    <w:multiLevelType w:val="hybridMultilevel"/>
    <w:tmpl w:val="6D6650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29318E3"/>
    <w:multiLevelType w:val="hybridMultilevel"/>
    <w:tmpl w:val="E01634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6F056CE"/>
    <w:multiLevelType w:val="hybridMultilevel"/>
    <w:tmpl w:val="C534D074"/>
    <w:lvl w:ilvl="0" w:tplc="79A429E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C40A4"/>
    <w:multiLevelType w:val="hybridMultilevel"/>
    <w:tmpl w:val="2916A1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5231967"/>
    <w:multiLevelType w:val="hybridMultilevel"/>
    <w:tmpl w:val="3EC0963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556F5CD0"/>
    <w:multiLevelType w:val="hybridMultilevel"/>
    <w:tmpl w:val="25489C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12" w15:restartNumberingAfterBreak="0">
    <w:nsid w:val="6E8C5325"/>
    <w:multiLevelType w:val="hybridMultilevel"/>
    <w:tmpl w:val="FB9AD442"/>
    <w:lvl w:ilvl="0" w:tplc="DB4EECCC">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3"/>
  </w:num>
  <w:num w:numId="3">
    <w:abstractNumId w:val="13"/>
  </w:num>
  <w:num w:numId="4">
    <w:abstractNumId w:val="10"/>
  </w:num>
  <w:num w:numId="5">
    <w:abstractNumId w:val="9"/>
  </w:num>
  <w:num w:numId="6">
    <w:abstractNumId w:val="0"/>
  </w:num>
  <w:num w:numId="7">
    <w:abstractNumId w:val="4"/>
  </w:num>
  <w:num w:numId="8">
    <w:abstractNumId w:val="7"/>
  </w:num>
  <w:num w:numId="9">
    <w:abstractNumId w:val="11"/>
  </w:num>
  <w:num w:numId="10">
    <w:abstractNumId w:val="6"/>
  </w:num>
  <w:num w:numId="11">
    <w:abstractNumId w:val="2"/>
  </w:num>
  <w:num w:numId="12">
    <w:abstractNumId w:val="12"/>
  </w:num>
  <w:num w:numId="13">
    <w:abstractNumId w:val="8"/>
  </w:num>
  <w:num w:numId="14">
    <w:abstractNumId w:val="5"/>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617F"/>
    <w:rsid w:val="000208D5"/>
    <w:rsid w:val="00021435"/>
    <w:rsid w:val="00024F13"/>
    <w:rsid w:val="00034EFF"/>
    <w:rsid w:val="00040611"/>
    <w:rsid w:val="000409B2"/>
    <w:rsid w:val="000466E6"/>
    <w:rsid w:val="000518B6"/>
    <w:rsid w:val="000642A3"/>
    <w:rsid w:val="000673F5"/>
    <w:rsid w:val="000772DC"/>
    <w:rsid w:val="00083069"/>
    <w:rsid w:val="0009344A"/>
    <w:rsid w:val="000B0A0B"/>
    <w:rsid w:val="000B6961"/>
    <w:rsid w:val="000C4A8E"/>
    <w:rsid w:val="000C5F12"/>
    <w:rsid w:val="000C7647"/>
    <w:rsid w:val="000D4D5C"/>
    <w:rsid w:val="000E395F"/>
    <w:rsid w:val="000F3C0D"/>
    <w:rsid w:val="00106665"/>
    <w:rsid w:val="00116AFF"/>
    <w:rsid w:val="00124EB6"/>
    <w:rsid w:val="001308B2"/>
    <w:rsid w:val="001372E8"/>
    <w:rsid w:val="00152404"/>
    <w:rsid w:val="00162CB8"/>
    <w:rsid w:val="00172B21"/>
    <w:rsid w:val="00192A1D"/>
    <w:rsid w:val="001B6357"/>
    <w:rsid w:val="001B64CA"/>
    <w:rsid w:val="001D676D"/>
    <w:rsid w:val="001E2FED"/>
    <w:rsid w:val="001E5AFE"/>
    <w:rsid w:val="001F5876"/>
    <w:rsid w:val="00231DAB"/>
    <w:rsid w:val="002468E2"/>
    <w:rsid w:val="002553B4"/>
    <w:rsid w:val="00262FC3"/>
    <w:rsid w:val="0028065B"/>
    <w:rsid w:val="00286B6D"/>
    <w:rsid w:val="00292CE7"/>
    <w:rsid w:val="002A2193"/>
    <w:rsid w:val="002B0DDD"/>
    <w:rsid w:val="002B59EF"/>
    <w:rsid w:val="002B67B6"/>
    <w:rsid w:val="002B690D"/>
    <w:rsid w:val="002D263D"/>
    <w:rsid w:val="002D7D44"/>
    <w:rsid w:val="002E0FF8"/>
    <w:rsid w:val="002E2336"/>
    <w:rsid w:val="002E4C6D"/>
    <w:rsid w:val="002F5A9A"/>
    <w:rsid w:val="002F7B68"/>
    <w:rsid w:val="00313725"/>
    <w:rsid w:val="003220AA"/>
    <w:rsid w:val="0033205D"/>
    <w:rsid w:val="00333D7F"/>
    <w:rsid w:val="00341942"/>
    <w:rsid w:val="0034475B"/>
    <w:rsid w:val="0035540F"/>
    <w:rsid w:val="00360D53"/>
    <w:rsid w:val="00365BA9"/>
    <w:rsid w:val="00365CE4"/>
    <w:rsid w:val="00393FEA"/>
    <w:rsid w:val="00394B27"/>
    <w:rsid w:val="003A3D8B"/>
    <w:rsid w:val="003C1DC4"/>
    <w:rsid w:val="003D4A05"/>
    <w:rsid w:val="003F232C"/>
    <w:rsid w:val="00416DEC"/>
    <w:rsid w:val="004207C8"/>
    <w:rsid w:val="00444512"/>
    <w:rsid w:val="00450FA7"/>
    <w:rsid w:val="00452212"/>
    <w:rsid w:val="00462E49"/>
    <w:rsid w:val="0048093F"/>
    <w:rsid w:val="00484C91"/>
    <w:rsid w:val="0048668A"/>
    <w:rsid w:val="004900B0"/>
    <w:rsid w:val="004B6C81"/>
    <w:rsid w:val="004C00C1"/>
    <w:rsid w:val="004C672E"/>
    <w:rsid w:val="004D7FE0"/>
    <w:rsid w:val="004F39DB"/>
    <w:rsid w:val="004F430F"/>
    <w:rsid w:val="004F6E72"/>
    <w:rsid w:val="00502F10"/>
    <w:rsid w:val="00504A5D"/>
    <w:rsid w:val="005053EA"/>
    <w:rsid w:val="0050616A"/>
    <w:rsid w:val="00511208"/>
    <w:rsid w:val="005164F1"/>
    <w:rsid w:val="0052140E"/>
    <w:rsid w:val="0053186E"/>
    <w:rsid w:val="00543327"/>
    <w:rsid w:val="00544261"/>
    <w:rsid w:val="005514B5"/>
    <w:rsid w:val="00552774"/>
    <w:rsid w:val="00571270"/>
    <w:rsid w:val="005835AD"/>
    <w:rsid w:val="005838EA"/>
    <w:rsid w:val="00585773"/>
    <w:rsid w:val="00595A59"/>
    <w:rsid w:val="005C579E"/>
    <w:rsid w:val="005C77FC"/>
    <w:rsid w:val="005D04D6"/>
    <w:rsid w:val="005D255E"/>
    <w:rsid w:val="005D2AFC"/>
    <w:rsid w:val="006129B6"/>
    <w:rsid w:val="00614513"/>
    <w:rsid w:val="006249FD"/>
    <w:rsid w:val="006328F2"/>
    <w:rsid w:val="0063517D"/>
    <w:rsid w:val="00636812"/>
    <w:rsid w:val="00666BD1"/>
    <w:rsid w:val="00672D94"/>
    <w:rsid w:val="00674051"/>
    <w:rsid w:val="00682798"/>
    <w:rsid w:val="00683DF0"/>
    <w:rsid w:val="0068782F"/>
    <w:rsid w:val="006A286A"/>
    <w:rsid w:val="006B21CA"/>
    <w:rsid w:val="006C7AB7"/>
    <w:rsid w:val="006D2219"/>
    <w:rsid w:val="006E1FB7"/>
    <w:rsid w:val="006F01A5"/>
    <w:rsid w:val="00701F1C"/>
    <w:rsid w:val="00706D43"/>
    <w:rsid w:val="007111E2"/>
    <w:rsid w:val="00714F6D"/>
    <w:rsid w:val="00727160"/>
    <w:rsid w:val="00737C08"/>
    <w:rsid w:val="00765682"/>
    <w:rsid w:val="0078136E"/>
    <w:rsid w:val="00785910"/>
    <w:rsid w:val="00785B81"/>
    <w:rsid w:val="007A6612"/>
    <w:rsid w:val="007A72B4"/>
    <w:rsid w:val="007B439F"/>
    <w:rsid w:val="007C690E"/>
    <w:rsid w:val="007D5680"/>
    <w:rsid w:val="007F5DBD"/>
    <w:rsid w:val="00800BC1"/>
    <w:rsid w:val="00802FBE"/>
    <w:rsid w:val="00830625"/>
    <w:rsid w:val="008412FD"/>
    <w:rsid w:val="00857E6D"/>
    <w:rsid w:val="00860E63"/>
    <w:rsid w:val="00896408"/>
    <w:rsid w:val="008A0342"/>
    <w:rsid w:val="008B0D82"/>
    <w:rsid w:val="008D69A9"/>
    <w:rsid w:val="008F7D38"/>
    <w:rsid w:val="00900A98"/>
    <w:rsid w:val="00907941"/>
    <w:rsid w:val="00922798"/>
    <w:rsid w:val="00931200"/>
    <w:rsid w:val="009367BE"/>
    <w:rsid w:val="00942F98"/>
    <w:rsid w:val="00945406"/>
    <w:rsid w:val="00946303"/>
    <w:rsid w:val="009564F5"/>
    <w:rsid w:val="00957ED7"/>
    <w:rsid w:val="00961696"/>
    <w:rsid w:val="009740DC"/>
    <w:rsid w:val="009770FF"/>
    <w:rsid w:val="009A0611"/>
    <w:rsid w:val="009E46CD"/>
    <w:rsid w:val="009F7D8C"/>
    <w:rsid w:val="00A00D6C"/>
    <w:rsid w:val="00A42CFD"/>
    <w:rsid w:val="00A6549D"/>
    <w:rsid w:val="00A92581"/>
    <w:rsid w:val="00AA4C0D"/>
    <w:rsid w:val="00AB48FE"/>
    <w:rsid w:val="00AB5904"/>
    <w:rsid w:val="00AC1013"/>
    <w:rsid w:val="00AC5D2E"/>
    <w:rsid w:val="00AC643E"/>
    <w:rsid w:val="00AE50DC"/>
    <w:rsid w:val="00B03ED8"/>
    <w:rsid w:val="00B06102"/>
    <w:rsid w:val="00B1604D"/>
    <w:rsid w:val="00B258CF"/>
    <w:rsid w:val="00B368D9"/>
    <w:rsid w:val="00B46598"/>
    <w:rsid w:val="00B5007A"/>
    <w:rsid w:val="00B715F8"/>
    <w:rsid w:val="00B72FED"/>
    <w:rsid w:val="00B739EF"/>
    <w:rsid w:val="00B86D40"/>
    <w:rsid w:val="00B92AAE"/>
    <w:rsid w:val="00B9752A"/>
    <w:rsid w:val="00BB2430"/>
    <w:rsid w:val="00BB7B54"/>
    <w:rsid w:val="00BC61C7"/>
    <w:rsid w:val="00BE25D1"/>
    <w:rsid w:val="00BE3E7C"/>
    <w:rsid w:val="00BE4063"/>
    <w:rsid w:val="00BF6ABA"/>
    <w:rsid w:val="00C074E0"/>
    <w:rsid w:val="00C1299F"/>
    <w:rsid w:val="00C1560A"/>
    <w:rsid w:val="00C25ED8"/>
    <w:rsid w:val="00C27BC3"/>
    <w:rsid w:val="00C50236"/>
    <w:rsid w:val="00C56D9A"/>
    <w:rsid w:val="00C60FA1"/>
    <w:rsid w:val="00C6218C"/>
    <w:rsid w:val="00C62894"/>
    <w:rsid w:val="00C66E71"/>
    <w:rsid w:val="00C77098"/>
    <w:rsid w:val="00C8496C"/>
    <w:rsid w:val="00C8651A"/>
    <w:rsid w:val="00C910B0"/>
    <w:rsid w:val="00CA7BC4"/>
    <w:rsid w:val="00CB5A40"/>
    <w:rsid w:val="00CC1CA7"/>
    <w:rsid w:val="00CD1737"/>
    <w:rsid w:val="00CE0C16"/>
    <w:rsid w:val="00CE6CB0"/>
    <w:rsid w:val="00CE7B9C"/>
    <w:rsid w:val="00CF5891"/>
    <w:rsid w:val="00D03072"/>
    <w:rsid w:val="00D048DC"/>
    <w:rsid w:val="00D16A42"/>
    <w:rsid w:val="00D43BA3"/>
    <w:rsid w:val="00D44A43"/>
    <w:rsid w:val="00D54895"/>
    <w:rsid w:val="00D577BB"/>
    <w:rsid w:val="00D677A2"/>
    <w:rsid w:val="00D87573"/>
    <w:rsid w:val="00D92AB5"/>
    <w:rsid w:val="00DA27DA"/>
    <w:rsid w:val="00DB3DA1"/>
    <w:rsid w:val="00DB5084"/>
    <w:rsid w:val="00DB6ED2"/>
    <w:rsid w:val="00DC2E6E"/>
    <w:rsid w:val="00DD11CB"/>
    <w:rsid w:val="00DE1BAA"/>
    <w:rsid w:val="00DE597E"/>
    <w:rsid w:val="00E06DCF"/>
    <w:rsid w:val="00E10C1F"/>
    <w:rsid w:val="00E20E32"/>
    <w:rsid w:val="00E2157C"/>
    <w:rsid w:val="00E22A4C"/>
    <w:rsid w:val="00E25B87"/>
    <w:rsid w:val="00E30C81"/>
    <w:rsid w:val="00E33BAF"/>
    <w:rsid w:val="00E34104"/>
    <w:rsid w:val="00E35E76"/>
    <w:rsid w:val="00E55D5E"/>
    <w:rsid w:val="00E66D2B"/>
    <w:rsid w:val="00E73C4A"/>
    <w:rsid w:val="00E7744C"/>
    <w:rsid w:val="00E83266"/>
    <w:rsid w:val="00EB26FB"/>
    <w:rsid w:val="00EC1F08"/>
    <w:rsid w:val="00EC2F3D"/>
    <w:rsid w:val="00EC5FE6"/>
    <w:rsid w:val="00ED01EB"/>
    <w:rsid w:val="00EE2EAD"/>
    <w:rsid w:val="00EF603E"/>
    <w:rsid w:val="00F04346"/>
    <w:rsid w:val="00F346B4"/>
    <w:rsid w:val="00F440E7"/>
    <w:rsid w:val="00F512F5"/>
    <w:rsid w:val="00F61675"/>
    <w:rsid w:val="00F618ED"/>
    <w:rsid w:val="00F74C55"/>
    <w:rsid w:val="00F81C1C"/>
    <w:rsid w:val="00F8504A"/>
    <w:rsid w:val="00F92325"/>
    <w:rsid w:val="00F929FB"/>
    <w:rsid w:val="00FA2D6F"/>
    <w:rsid w:val="00FB3B1D"/>
    <w:rsid w:val="00FC7919"/>
    <w:rsid w:val="00FD0EBD"/>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A9F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tabs>
        <w:tab w:val="clear" w:pos="2835"/>
        <w:tab w:val="num" w:pos="3544"/>
      </w:tabs>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C25ED8"/>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C25ED8"/>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styleId="CommentReference">
    <w:name w:val="annotation reference"/>
    <w:basedOn w:val="DefaultParagraphFont"/>
    <w:uiPriority w:val="99"/>
    <w:semiHidden/>
    <w:unhideWhenUsed/>
    <w:rsid w:val="000673F5"/>
    <w:rPr>
      <w:sz w:val="16"/>
      <w:szCs w:val="16"/>
    </w:rPr>
  </w:style>
  <w:style w:type="paragraph" w:styleId="CommentText">
    <w:name w:val="annotation text"/>
    <w:basedOn w:val="Normal"/>
    <w:link w:val="CommentTextChar"/>
    <w:uiPriority w:val="99"/>
    <w:semiHidden/>
    <w:unhideWhenUsed/>
    <w:rsid w:val="000673F5"/>
    <w:rPr>
      <w:szCs w:val="20"/>
    </w:rPr>
  </w:style>
  <w:style w:type="character" w:customStyle="1" w:styleId="CommentTextChar">
    <w:name w:val="Comment Text Char"/>
    <w:basedOn w:val="DefaultParagraphFont"/>
    <w:link w:val="CommentText"/>
    <w:uiPriority w:val="99"/>
    <w:semiHidden/>
    <w:rsid w:val="000673F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0673F5"/>
    <w:rPr>
      <w:b/>
      <w:bCs/>
    </w:rPr>
  </w:style>
  <w:style w:type="character" w:customStyle="1" w:styleId="CommentSubjectChar">
    <w:name w:val="Comment Subject Char"/>
    <w:basedOn w:val="CommentTextChar"/>
    <w:link w:val="CommentSubject"/>
    <w:uiPriority w:val="99"/>
    <w:semiHidden/>
    <w:rsid w:val="000673F5"/>
    <w:rPr>
      <w:rFonts w:ascii="Times New Roman"/>
      <w:b/>
      <w:bCs/>
      <w:sz w:val="20"/>
      <w:szCs w:val="20"/>
    </w:rPr>
  </w:style>
  <w:style w:type="paragraph" w:styleId="BalloonText">
    <w:name w:val="Balloon Text"/>
    <w:basedOn w:val="Normal"/>
    <w:link w:val="BalloonTextChar"/>
    <w:uiPriority w:val="99"/>
    <w:semiHidden/>
    <w:unhideWhenUsed/>
    <w:rsid w:val="00067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73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92217466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E833B-2407-4C60-BB80-9BBD6633C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2018-03-20T11:39:00Z</dcterms:created>
  <dcterms:modified xsi:type="dcterms:W3CDTF">2018-04-06T14:04:00Z</dcterms:modified>
</cp:coreProperties>
</file>